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3" w:rsidRDefault="00C66FB3" w:rsidP="00C66FB3">
      <w:pPr>
        <w:pStyle w:val="Heading1"/>
        <w:ind w:left="119"/>
      </w:pPr>
      <w:bookmarkStart w:id="0" w:name="_Toc199925165"/>
      <w:r>
        <w:t>G15.  LIBRARY SERVICES FOR INDIGENOUS AUSTRALIANS</w:t>
      </w:r>
      <w:bookmarkEnd w:id="0"/>
      <w:r w:rsidR="00EE6933"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BF48BE" w:rsidRPr="0070538D" w:rsidTr="0070538D">
        <w:tc>
          <w:tcPr>
            <w:tcW w:w="15276" w:type="dxa"/>
            <w:gridSpan w:val="2"/>
            <w:shd w:val="clear" w:color="auto" w:fill="auto"/>
          </w:tcPr>
          <w:p w:rsidR="00BF48BE" w:rsidRPr="0070538D" w:rsidRDefault="00BF48BE" w:rsidP="0070538D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66"/>
            <w:r w:rsidRPr="0070538D">
              <w:rPr>
                <w:sz w:val="18"/>
                <w:szCs w:val="18"/>
              </w:rPr>
              <w:t>Library / Branch:</w:t>
            </w:r>
            <w:r w:rsidRPr="0070538D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BF48BE" w:rsidRPr="0070538D" w:rsidTr="0070538D">
        <w:tc>
          <w:tcPr>
            <w:tcW w:w="12299" w:type="dxa"/>
            <w:shd w:val="clear" w:color="auto" w:fill="auto"/>
          </w:tcPr>
          <w:p w:rsidR="00BF48BE" w:rsidRPr="0070538D" w:rsidRDefault="00BF48BE" w:rsidP="0070538D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70538D">
              <w:rPr>
                <w:sz w:val="18"/>
                <w:szCs w:val="18"/>
              </w:rPr>
              <w:t>Completed by:</w:t>
            </w:r>
            <w:r w:rsidRPr="0070538D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F48BE" w:rsidRPr="0070538D" w:rsidRDefault="00BF48BE" w:rsidP="0070538D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70538D">
              <w:rPr>
                <w:sz w:val="18"/>
                <w:szCs w:val="18"/>
              </w:rPr>
              <w:t>Date:</w:t>
            </w:r>
            <w:r w:rsidRPr="0070538D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C66FB3" w:rsidRDefault="00C66FB3" w:rsidP="00C66FB3">
      <w:pPr>
        <w:pStyle w:val="Heading2"/>
      </w:pPr>
      <w:r>
        <w:t>Objective</w:t>
      </w:r>
      <w:bookmarkEnd w:id="1"/>
    </w:p>
    <w:p w:rsidR="00C66FB3" w:rsidRPr="00C66FB3" w:rsidRDefault="00C66FB3" w:rsidP="00C66FB3">
      <w:pPr>
        <w:pStyle w:val="BodyTextordinary"/>
        <w:rPr>
          <w:sz w:val="20"/>
        </w:rPr>
      </w:pPr>
      <w:r w:rsidRPr="00C66FB3">
        <w:rPr>
          <w:sz w:val="20"/>
        </w:rPr>
        <w:t xml:space="preserve">To actively consult and negotiate with Indigenous Australians to promote library and information literacy. </w:t>
      </w:r>
    </w:p>
    <w:p w:rsidR="00C66FB3" w:rsidRDefault="00C66FB3" w:rsidP="00C66FB3">
      <w:pPr>
        <w:pStyle w:val="Heading2"/>
      </w:pPr>
      <w:bookmarkStart w:id="4" w:name="_Toc199925167"/>
      <w:r>
        <w:t>Guidelines</w:t>
      </w:r>
      <w:bookmarkEnd w:id="4"/>
      <w:r>
        <w:t xml:space="preserve"> </w:t>
      </w:r>
    </w:p>
    <w:p w:rsidR="00A82EA4" w:rsidRDefault="00A82EA4" w:rsidP="00C66FB3">
      <w:pPr>
        <w:pStyle w:val="BodyTextordinary"/>
        <w:rPr>
          <w:sz w:val="20"/>
        </w:rPr>
      </w:pPr>
      <w:r w:rsidRPr="00A82EA4">
        <w:rPr>
          <w:b/>
          <w:sz w:val="20"/>
        </w:rPr>
        <w:t>Note:</w:t>
      </w:r>
      <w:r w:rsidR="001B34A5">
        <w:rPr>
          <w:b/>
          <w:sz w:val="20"/>
        </w:rPr>
        <w:t xml:space="preserve"> </w:t>
      </w:r>
      <w:r>
        <w:rPr>
          <w:sz w:val="20"/>
        </w:rPr>
        <w:t xml:space="preserve"> </w:t>
      </w:r>
      <w:r w:rsidRPr="00395797">
        <w:rPr>
          <w:sz w:val="20"/>
        </w:rPr>
        <w:t xml:space="preserve">Please </w:t>
      </w:r>
      <w:r w:rsidR="004E3FE3">
        <w:rPr>
          <w:sz w:val="20"/>
        </w:rPr>
        <w:t>consult</w:t>
      </w:r>
      <w:r w:rsidRPr="00CA7906">
        <w:rPr>
          <w:i/>
          <w:sz w:val="20"/>
        </w:rPr>
        <w:t xml:space="preserve"> Living Learning Libraries </w:t>
      </w:r>
      <w:r w:rsidR="004E3FE3" w:rsidRPr="004E3FE3">
        <w:rPr>
          <w:sz w:val="20"/>
        </w:rPr>
        <w:t xml:space="preserve">Guideline </w:t>
      </w:r>
      <w:r w:rsidRPr="00395797">
        <w:rPr>
          <w:sz w:val="20"/>
        </w:rPr>
        <w:t>G1</w:t>
      </w:r>
      <w:r>
        <w:rPr>
          <w:sz w:val="20"/>
        </w:rPr>
        <w:t>5</w:t>
      </w:r>
      <w:r w:rsidRPr="00395797">
        <w:rPr>
          <w:sz w:val="20"/>
        </w:rPr>
        <w:t xml:space="preserve"> for background information on policies</w:t>
      </w:r>
      <w:r>
        <w:rPr>
          <w:sz w:val="20"/>
        </w:rPr>
        <w:t>, protocols and</w:t>
      </w:r>
      <w:r w:rsidRPr="00395797">
        <w:rPr>
          <w:sz w:val="20"/>
        </w:rPr>
        <w:t xml:space="preserve"> resources.</w:t>
      </w:r>
    </w:p>
    <w:p w:rsidR="00A82EA4" w:rsidRDefault="00A82EA4" w:rsidP="00C66FB3">
      <w:pPr>
        <w:pStyle w:val="BodyTextordinary"/>
        <w:rPr>
          <w:sz w:val="20"/>
        </w:rPr>
      </w:pP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5">
          <w:tblGrid>
            <w:gridCol w:w="5487"/>
            <w:gridCol w:w="1980"/>
            <w:gridCol w:w="6660"/>
          </w:tblGrid>
        </w:tblGridChange>
      </w:tblGrid>
      <w:tr w:rsidR="00C66FB3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C66FB3" w:rsidRPr="00BF48BE" w:rsidRDefault="00C66FB3" w:rsidP="00BE27D2">
            <w:pPr>
              <w:pStyle w:val="TableText0"/>
              <w:spacing w:after="0"/>
              <w:rPr>
                <w:b/>
                <w:sz w:val="20"/>
              </w:rPr>
            </w:pPr>
            <w:r w:rsidRPr="00BF48BE">
              <w:rPr>
                <w:b/>
                <w:sz w:val="20"/>
              </w:rPr>
              <w:t>Guideline</w:t>
            </w:r>
          </w:p>
          <w:p w:rsidR="00C66FB3" w:rsidRPr="00414C75" w:rsidRDefault="00C66FB3" w:rsidP="00920437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 xml:space="preserve">These Guidelines are </w:t>
            </w:r>
            <w:r w:rsidRPr="00830456">
              <w:rPr>
                <w:i/>
                <w:sz w:val="16"/>
                <w:szCs w:val="16"/>
              </w:rPr>
              <w:t>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="0095263B">
              <w:rPr>
                <w:i/>
                <w:sz w:val="16"/>
                <w:szCs w:val="16"/>
              </w:rPr>
              <w:t xml:space="preserve"> </w:t>
            </w:r>
            <w:r w:rsidR="00920437">
              <w:rPr>
                <w:i/>
                <w:sz w:val="16"/>
                <w:szCs w:val="16"/>
              </w:rPr>
              <w:t>6</w:t>
            </w:r>
            <w:r w:rsidR="003E6A56" w:rsidRPr="003E6A56">
              <w:rPr>
                <w:i/>
                <w:sz w:val="16"/>
                <w:szCs w:val="16"/>
                <w:vertAlign w:val="superscript"/>
              </w:rPr>
              <w:t>th</w:t>
            </w:r>
            <w:r w:rsidR="003E6A56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95263B">
              <w:rPr>
                <w:i/>
                <w:sz w:val="16"/>
                <w:szCs w:val="16"/>
              </w:rPr>
              <w:t>1</w:t>
            </w:r>
            <w:r w:rsidR="009204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C66FB3" w:rsidRPr="00BF48BE" w:rsidRDefault="00C66FB3" w:rsidP="00BE27D2">
            <w:pPr>
              <w:pStyle w:val="TableText0"/>
              <w:spacing w:after="0"/>
              <w:rPr>
                <w:b/>
                <w:sz w:val="20"/>
              </w:rPr>
            </w:pPr>
            <w:r w:rsidRPr="00BF48BE">
              <w:rPr>
                <w:b/>
                <w:sz w:val="20"/>
              </w:rPr>
              <w:t>Action indicator</w:t>
            </w:r>
          </w:p>
          <w:p w:rsidR="00C66FB3" w:rsidRPr="00E46E8F" w:rsidRDefault="00C66FB3" w:rsidP="00BE27D2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C66FB3" w:rsidRPr="00BF48BE" w:rsidRDefault="00C66FB3" w:rsidP="00BE27D2">
            <w:pPr>
              <w:pStyle w:val="TableText0"/>
              <w:spacing w:after="0"/>
              <w:rPr>
                <w:b/>
                <w:sz w:val="20"/>
              </w:rPr>
            </w:pPr>
            <w:r w:rsidRPr="00BF48BE">
              <w:rPr>
                <w:b/>
                <w:sz w:val="20"/>
              </w:rPr>
              <w:t>Commentary</w:t>
            </w:r>
          </w:p>
          <w:p w:rsidR="00C66FB3" w:rsidRPr="00446335" w:rsidRDefault="00C66FB3" w:rsidP="00BE27D2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C66FB3">
            <w:pPr>
              <w:pStyle w:val="TableText0"/>
              <w:tabs>
                <w:tab w:val="left" w:pos="0"/>
              </w:tabs>
              <w:jc w:val="both"/>
              <w:rPr>
                <w:sz w:val="20"/>
              </w:rPr>
            </w:pPr>
            <w:r w:rsidRPr="00C66FB3">
              <w:rPr>
                <w:sz w:val="20"/>
              </w:rPr>
              <w:t>Balance collections by acquiring materials by, as well as about, Indigenous Australians</w:t>
            </w:r>
          </w:p>
        </w:tc>
        <w:tc>
          <w:tcPr>
            <w:tcW w:w="1980" w:type="dxa"/>
          </w:tcPr>
          <w:p w:rsidR="00C66FB3" w:rsidRPr="00E46E8F" w:rsidRDefault="00C66FB3" w:rsidP="00BE27D2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446335" w:rsidRDefault="00C66FB3" w:rsidP="00BE27D2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8BE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BF48BE" w:rsidRPr="00C66FB3" w:rsidRDefault="00BF48BE" w:rsidP="00C66FB3">
            <w:pPr>
              <w:pStyle w:val="List5"/>
              <w:ind w:left="0" w:hanging="21"/>
              <w:rPr>
                <w:sz w:val="20"/>
              </w:rPr>
            </w:pPr>
            <w:r w:rsidRPr="00C66FB3">
              <w:rPr>
                <w:sz w:val="20"/>
              </w:rPr>
              <w:t>Appropriate access is facilitated to libraries' archives and information resources by Indigenous Australians</w:t>
            </w:r>
          </w:p>
        </w:tc>
        <w:tc>
          <w:tcPr>
            <w:tcW w:w="1980" w:type="dxa"/>
          </w:tcPr>
          <w:p w:rsidR="00BF48BE" w:rsidRPr="00B41C79" w:rsidRDefault="00BF48BE" w:rsidP="00BE27D2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F48BE" w:rsidRDefault="00BF48BE" w:rsidP="00BE27D2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48BE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BF48BE" w:rsidRPr="00C66FB3" w:rsidRDefault="00BF48BE" w:rsidP="00C66FB3">
            <w:pPr>
              <w:pStyle w:val="List5"/>
              <w:ind w:left="0" w:hanging="21"/>
              <w:rPr>
                <w:sz w:val="20"/>
              </w:rPr>
            </w:pPr>
            <w:r w:rsidRPr="00C66FB3">
              <w:rPr>
                <w:sz w:val="20"/>
              </w:rPr>
              <w:t>Appropriate content and perspectives in documentary materials, media and traditional cultural property is ensured</w:t>
            </w:r>
          </w:p>
        </w:tc>
        <w:tc>
          <w:tcPr>
            <w:tcW w:w="1980" w:type="dxa"/>
          </w:tcPr>
          <w:p w:rsidR="00BF48BE" w:rsidRPr="00B41C79" w:rsidRDefault="00BF48BE" w:rsidP="00BE27D2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F48BE" w:rsidRDefault="00BF48BE" w:rsidP="00BE27D2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8BE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BF48BE" w:rsidRPr="00C66FB3" w:rsidRDefault="00BF48BE" w:rsidP="00C66FB3">
            <w:pPr>
              <w:pStyle w:val="List5"/>
              <w:ind w:left="0" w:hanging="21"/>
              <w:rPr>
                <w:sz w:val="20"/>
              </w:rPr>
            </w:pPr>
            <w:r w:rsidRPr="00C66FB3">
              <w:rPr>
                <w:sz w:val="20"/>
              </w:rPr>
              <w:t>Moral rights of Indigenous Australians as owners of their knowledge is acknowledged</w:t>
            </w:r>
          </w:p>
        </w:tc>
        <w:tc>
          <w:tcPr>
            <w:tcW w:w="1980" w:type="dxa"/>
          </w:tcPr>
          <w:p w:rsidR="00BF48BE" w:rsidRPr="00B41C79" w:rsidRDefault="00BF48BE" w:rsidP="00BE27D2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F48BE" w:rsidRDefault="00BF48BE" w:rsidP="00BE27D2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C66FB3">
            <w:pPr>
              <w:pStyle w:val="List5"/>
              <w:ind w:left="0" w:hanging="21"/>
              <w:rPr>
                <w:sz w:val="20"/>
              </w:rPr>
            </w:pPr>
            <w:r w:rsidRPr="00C66FB3">
              <w:rPr>
                <w:sz w:val="20"/>
              </w:rPr>
              <w:t>Local Indigenous Australians are consulted in regard to establishment and operation of library services for their community</w:t>
            </w:r>
          </w:p>
        </w:tc>
        <w:tc>
          <w:tcPr>
            <w:tcW w:w="1980" w:type="dxa"/>
          </w:tcPr>
          <w:p w:rsidR="00C66FB3" w:rsidRPr="00B41C79" w:rsidRDefault="00C66FB3" w:rsidP="00BE27D2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AD33BD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t>Links with Indigenous Australian members of the community are established in order to receive guidance and assistance in the consultation and negotiation process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BE27D2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t>In areas with significant Indigenous Australian populations, working relationships with appropriate government organisations and educational institutions are developed in connection with the provision of services to Indigenous Australians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 w:rsidRPr="002E48A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2E48A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2E48A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BE27D2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lastRenderedPageBreak/>
              <w:t>In areas with significant Indigenous Australian populations, availability of Indigenous Australian resources is promoted through radio, television, newspapers, brochures and library displays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 w:rsidRPr="002E48A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2E48A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2E48A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BE27D2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t xml:space="preserve">In areas with significant Indigenous Australian populations, services are developed which integrate the special cultural talents of Indigenous Australians e.g. art displays, storytelling, </w:t>
            </w:r>
            <w:proofErr w:type="gramStart"/>
            <w:r w:rsidRPr="00C66FB3">
              <w:rPr>
                <w:sz w:val="20"/>
              </w:rPr>
              <w:t>dance</w:t>
            </w:r>
            <w:proofErr w:type="gramEnd"/>
            <w:r w:rsidRPr="00C66FB3">
              <w:rPr>
                <w:sz w:val="20"/>
              </w:rPr>
              <w:t xml:space="preserve"> perfo</w:t>
            </w:r>
            <w:r w:rsidR="0095263B">
              <w:rPr>
                <w:sz w:val="20"/>
              </w:rPr>
              <w:t>rmances. These may be conducted</w:t>
            </w:r>
            <w:r w:rsidRPr="00C66FB3">
              <w:rPr>
                <w:sz w:val="20"/>
              </w:rPr>
              <w:t xml:space="preserve"> less regularly for areas with fewer Indigenous residents.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 w:rsidRPr="002E48A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2E48A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2E48A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BE27D2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t>An appropriate ratio of library staff are Indigenous Australians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 w:rsidRPr="002E48A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2E48A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2E48A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FB3" w:rsidRPr="00C66FB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66FB3" w:rsidRPr="00C66FB3" w:rsidRDefault="00C66FB3" w:rsidP="00BE27D2">
            <w:pPr>
              <w:pStyle w:val="TableText0"/>
              <w:rPr>
                <w:sz w:val="20"/>
              </w:rPr>
            </w:pPr>
            <w:r w:rsidRPr="00C66FB3">
              <w:rPr>
                <w:sz w:val="20"/>
              </w:rPr>
              <w:t>Cross-cultural awareness training strategies are delivered on the basis of negotiation and consultation by library staff with Indigenous Australians</w:t>
            </w:r>
          </w:p>
        </w:tc>
        <w:tc>
          <w:tcPr>
            <w:tcW w:w="1980" w:type="dxa"/>
          </w:tcPr>
          <w:p w:rsidR="00C66FB3" w:rsidRPr="002E48AC" w:rsidRDefault="00C66FB3" w:rsidP="00BE27D2">
            <w:pPr>
              <w:pStyle w:val="TableText"/>
              <w:rPr>
                <w:rFonts w:ascii="Arial Narrow" w:hAnsi="Arial Narrow"/>
                <w:b/>
                <w:sz w:val="20"/>
              </w:rPr>
            </w:pPr>
            <w:r w:rsidRPr="002E48A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2E48AC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13795C" w:rsidRPr="0078745E">
              <w:rPr>
                <w:rFonts w:ascii="Arial Narrow" w:hAnsi="Arial Narrow"/>
                <w:b/>
                <w:sz w:val="20"/>
              </w:rPr>
            </w:r>
            <w:r w:rsidRPr="002E48AC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66FB3" w:rsidRPr="00F320E0" w:rsidRDefault="00C66FB3" w:rsidP="00BE27D2">
            <w:pPr>
              <w:pStyle w:val="TableText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 w:rsidR="0078745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486B" w:rsidRDefault="0073486B" w:rsidP="0073486B">
      <w:bookmarkStart w:id="7" w:name="_Toc199925168"/>
    </w:p>
    <w:p w:rsidR="00C66FB3" w:rsidRDefault="00C66FB3" w:rsidP="00BF48BE">
      <w:pPr>
        <w:pStyle w:val="Heading2"/>
        <w:spacing w:before="240" w:after="120"/>
      </w:pPr>
      <w:r>
        <w:t>Suggested performance indicators</w:t>
      </w:r>
      <w:bookmarkEnd w:id="7"/>
      <w:r>
        <w:t xml:space="preserve"> </w:t>
      </w:r>
    </w:p>
    <w:p w:rsidR="00C66FB3" w:rsidRPr="00C66FB3" w:rsidRDefault="00C66FB3" w:rsidP="00C66FB3">
      <w:pPr>
        <w:pStyle w:val="listbulletsg"/>
        <w:rPr>
          <w:sz w:val="20"/>
        </w:rPr>
      </w:pPr>
      <w:r w:rsidRPr="00C66FB3">
        <w:rPr>
          <w:sz w:val="20"/>
        </w:rPr>
        <w:t>Number of consultations and negotiations per annum with representatives of the Aboriginal and Torres Strait Islander community to ensure relevant collections and service provisions</w:t>
      </w:r>
    </w:p>
    <w:p w:rsidR="00C66FB3" w:rsidRPr="00C66FB3" w:rsidRDefault="00C66FB3" w:rsidP="00C66FB3">
      <w:pPr>
        <w:pStyle w:val="listbulletsg"/>
        <w:rPr>
          <w:sz w:val="20"/>
        </w:rPr>
      </w:pPr>
      <w:r w:rsidRPr="00C66FB3">
        <w:rPr>
          <w:sz w:val="20"/>
        </w:rPr>
        <w:t>Nu</w:t>
      </w:r>
      <w:r w:rsidR="00AD33BD">
        <w:rPr>
          <w:sz w:val="20"/>
        </w:rPr>
        <w:t>mber of events involving local Aboriginal and Torres Strait Islander</w:t>
      </w:r>
      <w:r w:rsidRPr="00C66FB3">
        <w:rPr>
          <w:sz w:val="20"/>
        </w:rPr>
        <w:t xml:space="preserve"> community per annum</w:t>
      </w:r>
    </w:p>
    <w:p w:rsidR="00C66FB3" w:rsidRPr="00C66FB3" w:rsidRDefault="00C66FB3" w:rsidP="00C66FB3">
      <w:pPr>
        <w:pStyle w:val="listbulletsg"/>
        <w:rPr>
          <w:sz w:val="20"/>
        </w:rPr>
      </w:pPr>
      <w:r w:rsidRPr="00C66FB3">
        <w:rPr>
          <w:sz w:val="20"/>
        </w:rPr>
        <w:t>Number of staff cross-cultural awareness training courses per annum</w:t>
      </w:r>
    </w:p>
    <w:p w:rsidR="00C66FB3" w:rsidRPr="00C66FB3" w:rsidRDefault="00C66FB3" w:rsidP="00C66FB3">
      <w:pPr>
        <w:pStyle w:val="listbulletsg"/>
        <w:rPr>
          <w:sz w:val="20"/>
        </w:rPr>
      </w:pPr>
      <w:r w:rsidRPr="00C66FB3">
        <w:rPr>
          <w:sz w:val="20"/>
        </w:rPr>
        <w:t>Percentage of staff trained in cultural awareness.</w:t>
      </w:r>
    </w:p>
    <w:p w:rsidR="00C66FB3" w:rsidRPr="002144FB" w:rsidRDefault="00C66FB3" w:rsidP="00BF48BE">
      <w:pPr>
        <w:pStyle w:val="Heading2"/>
        <w:tabs>
          <w:tab w:val="left" w:pos="6748"/>
        </w:tabs>
        <w:spacing w:before="240" w:after="120"/>
      </w:pPr>
      <w:r w:rsidRPr="002144FB">
        <w:t xml:space="preserve">Things </w:t>
      </w:r>
      <w:r>
        <w:t>to consider</w:t>
      </w:r>
      <w:r>
        <w:tab/>
      </w:r>
    </w:p>
    <w:p w:rsidR="00A71188" w:rsidRDefault="00C66FB3" w:rsidP="00BF48BE">
      <w:pPr>
        <w:pStyle w:val="BodyTextordinary"/>
        <w:rPr>
          <w:sz w:val="20"/>
        </w:rPr>
      </w:pPr>
      <w:r w:rsidRPr="00A82EA4">
        <w:rPr>
          <w:sz w:val="20"/>
        </w:rPr>
        <w:t>Some of the guidelines are more relevant than others to places with significant numbers of Indigenous Australians.</w:t>
      </w:r>
    </w:p>
    <w:p w:rsidR="00AD33BD" w:rsidRDefault="00AD33BD" w:rsidP="00AD33BD">
      <w:pPr>
        <w:pStyle w:val="Heading2"/>
        <w:tabs>
          <w:tab w:val="left" w:pos="6748"/>
        </w:tabs>
      </w:pPr>
      <w:bookmarkStart w:id="8" w:name="_Toc375147844"/>
      <w:r>
        <w:t>Other resources</w:t>
      </w:r>
      <w:bookmarkEnd w:id="8"/>
    </w:p>
    <w:p w:rsidR="00AD33BD" w:rsidRPr="00AD33BD" w:rsidRDefault="00AD33BD" w:rsidP="00AD33BD">
      <w:pPr>
        <w:pStyle w:val="ListBullet1"/>
        <w:ind w:left="1134" w:hanging="567"/>
        <w:rPr>
          <w:sz w:val="20"/>
        </w:rPr>
      </w:pPr>
      <w:r w:rsidRPr="00AD33BD">
        <w:rPr>
          <w:sz w:val="20"/>
        </w:rPr>
        <w:t xml:space="preserve">Development of all aspects of library services for Indigenous Australians should be guided by, and in accord with the ALIA statement </w:t>
      </w:r>
      <w:r w:rsidRPr="00AD33BD">
        <w:rPr>
          <w:i/>
          <w:sz w:val="20"/>
        </w:rPr>
        <w:t xml:space="preserve">Libraries and information services and Indigenous peoples: </w:t>
      </w:r>
      <w:hyperlink r:id="rId7" w:history="1">
        <w:r w:rsidRPr="00AD33BD">
          <w:rPr>
            <w:rStyle w:val="Hyperlink"/>
            <w:sz w:val="20"/>
          </w:rPr>
          <w:t>http://www.alia.org.au/about-alia/policies-standards-and-guidelines/libraries-and-information-services-and-indigenous-peoples</w:t>
        </w:r>
      </w:hyperlink>
      <w:r w:rsidRPr="00AD33BD">
        <w:rPr>
          <w:sz w:val="20"/>
        </w:rPr>
        <w:t xml:space="preserve"> </w:t>
      </w:r>
    </w:p>
    <w:p w:rsidR="00AD33BD" w:rsidRPr="00AD33BD" w:rsidRDefault="00AD33BD" w:rsidP="00AD33BD">
      <w:pPr>
        <w:pStyle w:val="ListBullet1"/>
        <w:ind w:left="1134" w:hanging="567"/>
        <w:rPr>
          <w:sz w:val="20"/>
        </w:rPr>
      </w:pPr>
      <w:r w:rsidRPr="00AD33BD">
        <w:rPr>
          <w:sz w:val="20"/>
        </w:rPr>
        <w:lastRenderedPageBreak/>
        <w:t xml:space="preserve">There is a related protocol, </w:t>
      </w:r>
      <w:r w:rsidRPr="00AD33BD">
        <w:rPr>
          <w:i/>
          <w:sz w:val="20"/>
        </w:rPr>
        <w:t>Aboriginal and Torres Strait Islander protocols for libraries, archives and information services (The ATSILIRN protocols)</w:t>
      </w:r>
      <w:r w:rsidRPr="00AD33BD">
        <w:rPr>
          <w:sz w:val="20"/>
        </w:rPr>
        <w:t xml:space="preserve">: </w:t>
      </w:r>
      <w:hyperlink r:id="rId8" w:history="1">
        <w:r w:rsidRPr="00AD33BD">
          <w:rPr>
            <w:rStyle w:val="Hyperlink"/>
            <w:sz w:val="20"/>
          </w:rPr>
          <w:t>http://www.aiatsis.gov.au/atsilirn/protocols.php</w:t>
        </w:r>
      </w:hyperlink>
      <w:r w:rsidRPr="00AD33BD">
        <w:rPr>
          <w:sz w:val="20"/>
        </w:rPr>
        <w:t xml:space="preserve"> </w:t>
      </w:r>
    </w:p>
    <w:p w:rsidR="00AD33BD" w:rsidRPr="00AD33BD" w:rsidRDefault="00AD33BD" w:rsidP="00AD33BD">
      <w:pPr>
        <w:pStyle w:val="ListBullet1"/>
        <w:ind w:left="1134" w:hanging="567"/>
        <w:rPr>
          <w:sz w:val="20"/>
        </w:rPr>
      </w:pPr>
      <w:r w:rsidRPr="00AD33BD">
        <w:rPr>
          <w:sz w:val="20"/>
        </w:rPr>
        <w:t>National and State Libraries Australasia</w:t>
      </w:r>
      <w:r w:rsidRPr="00AD33BD">
        <w:rPr>
          <w:i/>
          <w:sz w:val="20"/>
        </w:rPr>
        <w:t xml:space="preserve"> National policy framework for Indigenous library services and collections</w:t>
      </w:r>
      <w:r w:rsidRPr="00AD33BD">
        <w:rPr>
          <w:sz w:val="20"/>
        </w:rPr>
        <w:t xml:space="preserve">, 2007: </w:t>
      </w:r>
      <w:r w:rsidR="001E01C7">
        <w:rPr>
          <w:sz w:val="20"/>
        </w:rPr>
        <w:br/>
      </w:r>
      <w:hyperlink r:id="rId9" w:history="1">
        <w:r w:rsidRPr="00AD33BD">
          <w:rPr>
            <w:rStyle w:val="Hyperlink"/>
            <w:sz w:val="20"/>
          </w:rPr>
          <w:t>http://www.nsla.org.au/publication/national-policy-framework-indigenous-library-services</w:t>
        </w:r>
      </w:hyperlink>
      <w:r w:rsidRPr="00AD33BD">
        <w:rPr>
          <w:color w:val="000066"/>
          <w:sz w:val="20"/>
        </w:rPr>
        <w:t xml:space="preserve"> </w:t>
      </w:r>
    </w:p>
    <w:p w:rsidR="00AD33BD" w:rsidRPr="00AD33BD" w:rsidRDefault="00AD33BD" w:rsidP="00AD33BD">
      <w:pPr>
        <w:pStyle w:val="ListBullet1"/>
        <w:ind w:left="1134" w:hanging="567"/>
        <w:rPr>
          <w:rFonts w:cs="Arial"/>
          <w:color w:val="008000"/>
          <w:sz w:val="20"/>
        </w:rPr>
      </w:pPr>
      <w:r w:rsidRPr="00AD33BD">
        <w:rPr>
          <w:rFonts w:cs="Arial"/>
          <w:sz w:val="20"/>
        </w:rPr>
        <w:t xml:space="preserve">State Library of Queensland </w:t>
      </w:r>
      <w:r w:rsidRPr="00AD33BD">
        <w:rPr>
          <w:rFonts w:cs="Arial"/>
          <w:i/>
          <w:sz w:val="20"/>
        </w:rPr>
        <w:t>Library Services Standard for Aboriginal people and Torres Strait Islanders</w:t>
      </w:r>
      <w:r w:rsidRPr="00AD33BD">
        <w:rPr>
          <w:rFonts w:cs="Arial"/>
          <w:sz w:val="20"/>
        </w:rPr>
        <w:t xml:space="preserve">: </w:t>
      </w:r>
      <w:r w:rsidR="001E01C7">
        <w:rPr>
          <w:rFonts w:cs="Arial"/>
          <w:sz w:val="20"/>
        </w:rPr>
        <w:br/>
      </w:r>
      <w:hyperlink r:id="rId10" w:history="1">
        <w:r w:rsidRPr="00AD33BD">
          <w:rPr>
            <w:rStyle w:val="Hyperlink"/>
            <w:sz w:val="20"/>
          </w:rPr>
          <w:t>http://www.plconnect.slq.qld.gov.au/resources/aboriginal-and-torres-strait-islander-people/strategies-and-standards</w:t>
        </w:r>
      </w:hyperlink>
      <w:r w:rsidRPr="00AD33BD">
        <w:rPr>
          <w:sz w:val="20"/>
        </w:rPr>
        <w:t xml:space="preserve"> </w:t>
      </w:r>
    </w:p>
    <w:p w:rsidR="00AD33BD" w:rsidRPr="00AD33BD" w:rsidRDefault="00AD33BD" w:rsidP="00AD33BD">
      <w:pPr>
        <w:pStyle w:val="ListBullet1"/>
        <w:ind w:left="1134" w:hanging="567"/>
        <w:rPr>
          <w:sz w:val="20"/>
        </w:rPr>
      </w:pPr>
      <w:r w:rsidRPr="00AD33BD">
        <w:rPr>
          <w:sz w:val="20"/>
        </w:rPr>
        <w:t xml:space="preserve">State Library of Queensland </w:t>
      </w:r>
      <w:r w:rsidRPr="00AD33BD">
        <w:rPr>
          <w:i/>
          <w:sz w:val="20"/>
        </w:rPr>
        <w:t>Protocols for Aboriginal and Torres Strait Islander collections</w:t>
      </w:r>
      <w:r w:rsidRPr="00AD33BD">
        <w:rPr>
          <w:sz w:val="20"/>
        </w:rPr>
        <w:t xml:space="preserve">, 2007: </w:t>
      </w:r>
      <w:r w:rsidR="001E01C7">
        <w:rPr>
          <w:sz w:val="20"/>
        </w:rPr>
        <w:br/>
      </w:r>
      <w:hyperlink r:id="rId11" w:history="1">
        <w:r w:rsidRPr="00AD33BD">
          <w:rPr>
            <w:rStyle w:val="Hyperlink"/>
            <w:sz w:val="20"/>
          </w:rPr>
          <w:t>http://www.slq.qld.gov.au/__data/assets/pdf_file/0006/64599/SLQ_-_Protocols_for_Indigenous_Collections.pdf</w:t>
        </w:r>
      </w:hyperlink>
    </w:p>
    <w:p w:rsidR="00AD33BD" w:rsidRPr="00A82EA4" w:rsidRDefault="00AD33BD" w:rsidP="00AD33BD">
      <w:pPr>
        <w:pStyle w:val="BodyTextordinary"/>
        <w:ind w:left="0"/>
        <w:rPr>
          <w:sz w:val="20"/>
        </w:rPr>
      </w:pPr>
    </w:p>
    <w:sectPr w:rsidR="00AD33BD" w:rsidRPr="00A82EA4" w:rsidSect="00184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8D" w:rsidRDefault="0070538D">
      <w:r>
        <w:separator/>
      </w:r>
    </w:p>
  </w:endnote>
  <w:endnote w:type="continuationSeparator" w:id="0">
    <w:p w:rsidR="0070538D" w:rsidRDefault="0070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7" w:rsidRDefault="00920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5" w:rsidRPr="00CB204E" w:rsidRDefault="009B0565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920437">
      <w:rPr>
        <w:rFonts w:cs="Arial"/>
      </w:rPr>
      <w:t>6</w:t>
    </w:r>
    <w:r w:rsidR="003E6A56" w:rsidRPr="003E6A56">
      <w:rPr>
        <w:rFonts w:cs="Arial"/>
        <w:vertAlign w:val="superscript"/>
      </w:rPr>
      <w:t>th</w:t>
    </w:r>
    <w:r w:rsidR="003E6A56">
      <w:rPr>
        <w:rFonts w:cs="Arial"/>
      </w:rPr>
      <w:t xml:space="preserve"> </w:t>
    </w:r>
    <w:r w:rsidRPr="00CB204E">
      <w:rPr>
        <w:rFonts w:cs="Arial"/>
      </w:rPr>
      <w:t>editio</w:t>
    </w:r>
    <w:r w:rsidR="003E6A56">
      <w:rPr>
        <w:rFonts w:cs="Arial"/>
      </w:rPr>
      <w:t xml:space="preserve">n.  </w:t>
    </w:r>
    <w:r w:rsidR="003E6A56">
      <w:rPr>
        <w:rFonts w:cs="Arial"/>
      </w:rPr>
      <w:t xml:space="preserve">Library Council of NSW, </w:t>
    </w:r>
    <w:r w:rsidR="003E6A56">
      <w:rPr>
        <w:rFonts w:cs="Arial"/>
      </w:rPr>
      <w:t>201</w:t>
    </w:r>
    <w:r w:rsidR="00920437">
      <w:rPr>
        <w:rFonts w:cs="Arial"/>
      </w:rPr>
      <w:t>5</w:t>
    </w:r>
    <w:bookmarkStart w:id="9" w:name="_GoBack"/>
    <w:bookmarkEnd w:id="9"/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920437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5" w:rsidRPr="00184B43" w:rsidRDefault="009B0565" w:rsidP="00184B43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920437">
      <w:rPr>
        <w:rFonts w:cs="Arial"/>
      </w:rPr>
      <w:t>6</w:t>
    </w:r>
    <w:r w:rsidR="003E6A56" w:rsidRPr="003E6A56">
      <w:rPr>
        <w:rFonts w:cs="Arial"/>
        <w:vertAlign w:val="superscript"/>
      </w:rPr>
      <w:t>th</w:t>
    </w:r>
    <w:r w:rsidR="003E6A56">
      <w:rPr>
        <w:rFonts w:cs="Arial"/>
      </w:rPr>
      <w:t xml:space="preserve"> </w:t>
    </w:r>
    <w:r w:rsidRPr="00CB204E">
      <w:rPr>
        <w:rFonts w:cs="Arial"/>
      </w:rPr>
      <w:t>editio</w:t>
    </w:r>
    <w:r w:rsidR="0095263B">
      <w:rPr>
        <w:rFonts w:cs="Arial"/>
      </w:rPr>
      <w:t>n.  Library Council of NSW, 201</w:t>
    </w:r>
    <w:r w:rsidR="00920437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920437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8D" w:rsidRDefault="0070538D">
      <w:r>
        <w:separator/>
      </w:r>
    </w:p>
  </w:footnote>
  <w:footnote w:type="continuationSeparator" w:id="0">
    <w:p w:rsidR="0070538D" w:rsidRDefault="0070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7" w:rsidRDefault="00920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65" w:rsidRDefault="009B0565" w:rsidP="00184B43">
    <w:pPr>
      <w:pStyle w:val="Header"/>
      <w:jc w:val="center"/>
    </w:pPr>
    <w:r>
      <w:t>G15.  Library Services for Indigenous Australians Worksheet</w:t>
    </w:r>
  </w:p>
  <w:p w:rsidR="009B0565" w:rsidRDefault="009B0565" w:rsidP="00184B43">
    <w:pPr>
      <w:pStyle w:val="Header"/>
      <w:jc w:val="center"/>
    </w:pPr>
  </w:p>
  <w:p w:rsidR="009B0565" w:rsidRDefault="009B0565" w:rsidP="00184B4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37" w:rsidRDefault="00920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4E5D1B99"/>
    <w:multiLevelType w:val="hybridMultilevel"/>
    <w:tmpl w:val="494A0210"/>
    <w:lvl w:ilvl="0" w:tplc="A150003C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665"/>
        </w:tabs>
        <w:ind w:left="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5"/>
        </w:tabs>
        <w:ind w:left="1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</w:abstractNum>
  <w:abstractNum w:abstractNumId="24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6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8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0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2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3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6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7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4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9"/>
  </w:num>
  <w:num w:numId="7">
    <w:abstractNumId w:val="14"/>
  </w:num>
  <w:num w:numId="8">
    <w:abstractNumId w:val="34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5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7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15"/>
  </w:num>
  <w:num w:numId="21">
    <w:abstractNumId w:val="40"/>
  </w:num>
  <w:num w:numId="22">
    <w:abstractNumId w:val="6"/>
  </w:num>
  <w:num w:numId="23">
    <w:abstractNumId w:val="10"/>
  </w:num>
  <w:num w:numId="24">
    <w:abstractNumId w:val="18"/>
  </w:num>
  <w:num w:numId="25">
    <w:abstractNumId w:val="29"/>
  </w:num>
  <w:num w:numId="26">
    <w:abstractNumId w:val="24"/>
  </w:num>
  <w:num w:numId="27">
    <w:abstractNumId w:val="21"/>
  </w:num>
  <w:num w:numId="28">
    <w:abstractNumId w:val="44"/>
  </w:num>
  <w:num w:numId="29">
    <w:abstractNumId w:val="33"/>
  </w:num>
  <w:num w:numId="30">
    <w:abstractNumId w:val="38"/>
  </w:num>
  <w:num w:numId="31">
    <w:abstractNumId w:val="28"/>
  </w:num>
  <w:num w:numId="32">
    <w:abstractNumId w:val="37"/>
  </w:num>
  <w:num w:numId="33">
    <w:abstractNumId w:val="11"/>
  </w:num>
  <w:num w:numId="34">
    <w:abstractNumId w:val="22"/>
  </w:num>
  <w:num w:numId="35">
    <w:abstractNumId w:val="17"/>
  </w:num>
  <w:num w:numId="36">
    <w:abstractNumId w:val="42"/>
  </w:num>
  <w:num w:numId="37">
    <w:abstractNumId w:val="3"/>
  </w:num>
  <w:num w:numId="38">
    <w:abstractNumId w:val="31"/>
  </w:num>
  <w:num w:numId="39">
    <w:abstractNumId w:val="4"/>
  </w:num>
  <w:num w:numId="40">
    <w:abstractNumId w:val="5"/>
  </w:num>
  <w:num w:numId="41">
    <w:abstractNumId w:val="30"/>
  </w:num>
  <w:num w:numId="42">
    <w:abstractNumId w:val="32"/>
  </w:num>
  <w:num w:numId="43">
    <w:abstractNumId w:val="20"/>
  </w:num>
  <w:num w:numId="44">
    <w:abstractNumId w:val="16"/>
  </w:num>
  <w:num w:numId="45">
    <w:abstractNumId w:val="43"/>
  </w:num>
  <w:num w:numId="46">
    <w:abstractNumId w:val="41"/>
  </w:num>
  <w:num w:numId="47">
    <w:abstractNumId w:val="12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3E4B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4BA0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A09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95C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1FE8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885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B4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464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4A5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1C7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A56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650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3FE3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120B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5B0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538D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86B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45E"/>
    <w:rsid w:val="007877A0"/>
    <w:rsid w:val="00787A13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266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4DFB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0437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1548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63B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0D58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2CA0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565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151C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738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EA4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3BD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4D5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27D2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48BE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B3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296E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6EEE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6933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61ED81-776D-4B42-956A-87D00E8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E3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4E3FE3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4E3FE3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4E3FE3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4E3FE3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4E3FE3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4E3FE3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4E3FE3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4E3FE3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4E3FE3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4E3FE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4E3FE3"/>
  </w:style>
  <w:style w:type="paragraph" w:customStyle="1" w:styleId="Main">
    <w:name w:val="Main"/>
    <w:rsid w:val="004E3FE3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4E3FE3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4E3FE3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4E3FE3"/>
    <w:pPr>
      <w:ind w:left="1440" w:hanging="360"/>
    </w:pPr>
  </w:style>
  <w:style w:type="paragraph" w:styleId="ListNumber">
    <w:name w:val="List Number"/>
    <w:basedOn w:val="List"/>
    <w:semiHidden/>
    <w:rsid w:val="004E3FE3"/>
    <w:pPr>
      <w:numPr>
        <w:numId w:val="11"/>
      </w:numPr>
    </w:pPr>
  </w:style>
  <w:style w:type="paragraph" w:customStyle="1" w:styleId="Default">
    <w:name w:val="Default"/>
    <w:rsid w:val="004E3FE3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4E3FE3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4E3FE3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4E3FE3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4E3FE3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4E3FE3"/>
    <w:rPr>
      <w:caps w:val="0"/>
      <w:sz w:val="18"/>
      <w:szCs w:val="15"/>
    </w:rPr>
  </w:style>
  <w:style w:type="paragraph" w:styleId="Footer">
    <w:name w:val="footer"/>
    <w:basedOn w:val="HeaderBase"/>
    <w:semiHidden/>
    <w:rsid w:val="004E3FE3"/>
    <w:rPr>
      <w:caps w:val="0"/>
      <w:sz w:val="18"/>
      <w:szCs w:val="18"/>
    </w:rPr>
  </w:style>
  <w:style w:type="character" w:styleId="PageNumber">
    <w:name w:val="page number"/>
    <w:semiHidden/>
    <w:rsid w:val="004E3FE3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4E3F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4E3FE3"/>
    <w:pPr>
      <w:ind w:left="1440"/>
    </w:pPr>
  </w:style>
  <w:style w:type="paragraph" w:customStyle="1" w:styleId="BodyTextKeep">
    <w:name w:val="Body Text Keep"/>
    <w:basedOn w:val="BodyText"/>
    <w:rsid w:val="004E3FE3"/>
    <w:pPr>
      <w:keepNext/>
    </w:pPr>
  </w:style>
  <w:style w:type="paragraph" w:customStyle="1" w:styleId="Picture">
    <w:name w:val="Picture"/>
    <w:basedOn w:val="Normal"/>
    <w:next w:val="Caption"/>
    <w:rsid w:val="004E3FE3"/>
    <w:pPr>
      <w:keepNext/>
    </w:pPr>
  </w:style>
  <w:style w:type="paragraph" w:styleId="Caption">
    <w:name w:val="caption"/>
    <w:basedOn w:val="Picture"/>
    <w:next w:val="BodyText"/>
    <w:qFormat/>
    <w:rsid w:val="004E3FE3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4E3FE3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4E3FE3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4E3FE3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4E3FE3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4E3F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4E3FE3"/>
  </w:style>
  <w:style w:type="paragraph" w:customStyle="1" w:styleId="CompanyName">
    <w:name w:val="Company Name"/>
    <w:basedOn w:val="Normal"/>
    <w:rsid w:val="004E3FE3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4E3FE3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4E3FE3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4E3FE3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4E3FE3"/>
  </w:style>
  <w:style w:type="paragraph" w:customStyle="1" w:styleId="TableText0">
    <w:name w:val="Table Text"/>
    <w:basedOn w:val="Normal"/>
    <w:rsid w:val="004E3FE3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4E3FE3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4E3FE3"/>
  </w:style>
  <w:style w:type="character" w:styleId="Emphasis">
    <w:name w:val="Emphasis"/>
    <w:qFormat/>
    <w:rsid w:val="004E3FE3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4E3FE3"/>
    <w:rPr>
      <w:vertAlign w:val="superscript"/>
    </w:rPr>
  </w:style>
  <w:style w:type="paragraph" w:styleId="EndnoteText">
    <w:name w:val="endnote text"/>
    <w:basedOn w:val="FootnoteBase"/>
    <w:semiHidden/>
    <w:rsid w:val="004E3FE3"/>
  </w:style>
  <w:style w:type="paragraph" w:customStyle="1" w:styleId="HeaderBase">
    <w:name w:val="Header Base"/>
    <w:basedOn w:val="Normal"/>
    <w:rsid w:val="004E3F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4E3FE3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4E3FE3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4E3FE3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4E3FE3"/>
    <w:rPr>
      <w:vertAlign w:val="superscript"/>
    </w:rPr>
  </w:style>
  <w:style w:type="paragraph" w:styleId="FootnoteText">
    <w:name w:val="footnote text"/>
    <w:basedOn w:val="FootnoteBase"/>
    <w:semiHidden/>
    <w:rsid w:val="004E3FE3"/>
    <w:pPr>
      <w:spacing w:after="60"/>
      <w:ind w:left="1077"/>
    </w:pPr>
  </w:style>
  <w:style w:type="paragraph" w:customStyle="1" w:styleId="HeaderEven">
    <w:name w:val="Header Even"/>
    <w:basedOn w:val="Header"/>
    <w:rsid w:val="004E3FE3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4E3FE3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4E3FE3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4E3FE3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4E3FE3"/>
  </w:style>
  <w:style w:type="paragraph" w:styleId="Index2">
    <w:name w:val="index 2"/>
    <w:basedOn w:val="IndexBase"/>
    <w:autoRedefine/>
    <w:semiHidden/>
    <w:rsid w:val="004E3FE3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4E3FE3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4E3FE3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4E3FE3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4E3FE3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4E3FE3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4E3FE3"/>
    <w:rPr>
      <w:sz w:val="18"/>
    </w:rPr>
  </w:style>
  <w:style w:type="paragraph" w:styleId="List2">
    <w:name w:val="List 2"/>
    <w:basedOn w:val="List"/>
    <w:semiHidden/>
    <w:rsid w:val="004E3FE3"/>
    <w:pPr>
      <w:ind w:left="1800"/>
    </w:pPr>
  </w:style>
  <w:style w:type="paragraph" w:styleId="List3">
    <w:name w:val="List 3"/>
    <w:basedOn w:val="List"/>
    <w:semiHidden/>
    <w:rsid w:val="004E3FE3"/>
    <w:pPr>
      <w:ind w:left="2160"/>
    </w:pPr>
  </w:style>
  <w:style w:type="paragraph" w:styleId="List4">
    <w:name w:val="List 4"/>
    <w:basedOn w:val="List"/>
    <w:semiHidden/>
    <w:rsid w:val="004E3FE3"/>
    <w:pPr>
      <w:ind w:left="2520"/>
    </w:pPr>
  </w:style>
  <w:style w:type="paragraph" w:styleId="List5">
    <w:name w:val="List 5"/>
    <w:basedOn w:val="List"/>
    <w:semiHidden/>
    <w:rsid w:val="004E3FE3"/>
    <w:pPr>
      <w:ind w:left="2880"/>
    </w:pPr>
  </w:style>
  <w:style w:type="paragraph" w:styleId="ListBullet2">
    <w:name w:val="List Bullet 2"/>
    <w:basedOn w:val="ListBullet"/>
    <w:autoRedefine/>
    <w:semiHidden/>
    <w:rsid w:val="004E3FE3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4E3FE3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4E3FE3"/>
    <w:pPr>
      <w:ind w:left="2520"/>
    </w:pPr>
  </w:style>
  <w:style w:type="paragraph" w:styleId="ListBullet5">
    <w:name w:val="List Bullet 5"/>
    <w:basedOn w:val="ListBullet"/>
    <w:autoRedefine/>
    <w:semiHidden/>
    <w:rsid w:val="004E3FE3"/>
    <w:pPr>
      <w:ind w:left="2880"/>
    </w:pPr>
  </w:style>
  <w:style w:type="paragraph" w:styleId="ListContinue">
    <w:name w:val="List Continue"/>
    <w:basedOn w:val="List"/>
    <w:semiHidden/>
    <w:rsid w:val="004E3FE3"/>
    <w:pPr>
      <w:ind w:firstLine="0"/>
    </w:pPr>
  </w:style>
  <w:style w:type="paragraph" w:styleId="ListContinue2">
    <w:name w:val="List Continue 2"/>
    <w:basedOn w:val="ListContinue"/>
    <w:semiHidden/>
    <w:rsid w:val="004E3FE3"/>
    <w:pPr>
      <w:ind w:left="2160"/>
    </w:pPr>
  </w:style>
  <w:style w:type="paragraph" w:styleId="ListContinue3">
    <w:name w:val="List Continue 3"/>
    <w:basedOn w:val="ListContinue"/>
    <w:semiHidden/>
    <w:rsid w:val="004E3FE3"/>
    <w:pPr>
      <w:ind w:left="2520"/>
    </w:pPr>
  </w:style>
  <w:style w:type="paragraph" w:styleId="ListContinue4">
    <w:name w:val="List Continue 4"/>
    <w:basedOn w:val="ListContinue"/>
    <w:semiHidden/>
    <w:rsid w:val="004E3FE3"/>
    <w:pPr>
      <w:ind w:left="2880"/>
    </w:pPr>
  </w:style>
  <w:style w:type="paragraph" w:styleId="ListContinue5">
    <w:name w:val="List Continue 5"/>
    <w:basedOn w:val="ListContinue"/>
    <w:semiHidden/>
    <w:rsid w:val="004E3FE3"/>
    <w:pPr>
      <w:ind w:left="3240"/>
    </w:pPr>
  </w:style>
  <w:style w:type="paragraph" w:styleId="ListNumber2">
    <w:name w:val="List Number 2"/>
    <w:basedOn w:val="ListNumber"/>
    <w:semiHidden/>
    <w:rsid w:val="004E3FE3"/>
    <w:pPr>
      <w:ind w:left="1800"/>
    </w:pPr>
  </w:style>
  <w:style w:type="paragraph" w:styleId="ListNumber3">
    <w:name w:val="List Number 3"/>
    <w:basedOn w:val="ListNumber"/>
    <w:semiHidden/>
    <w:rsid w:val="004E3FE3"/>
    <w:pPr>
      <w:ind w:left="2160"/>
    </w:pPr>
  </w:style>
  <w:style w:type="paragraph" w:styleId="ListNumber4">
    <w:name w:val="List Number 4"/>
    <w:basedOn w:val="ListNumber"/>
    <w:semiHidden/>
    <w:rsid w:val="004E3FE3"/>
    <w:pPr>
      <w:ind w:left="2520"/>
    </w:pPr>
  </w:style>
  <w:style w:type="paragraph" w:styleId="ListNumber5">
    <w:name w:val="List Number 5"/>
    <w:basedOn w:val="ListNumber"/>
    <w:semiHidden/>
    <w:rsid w:val="004E3FE3"/>
    <w:pPr>
      <w:ind w:left="2880"/>
    </w:pPr>
  </w:style>
  <w:style w:type="paragraph" w:customStyle="1" w:styleId="TableHeader">
    <w:name w:val="Table Header"/>
    <w:basedOn w:val="Normal"/>
    <w:rsid w:val="004E3FE3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4E3FE3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4E3FE3"/>
    <w:pPr>
      <w:ind w:left="1440"/>
    </w:pPr>
  </w:style>
  <w:style w:type="paragraph" w:customStyle="1" w:styleId="PartSubtitle">
    <w:name w:val="Part Subtitle"/>
    <w:basedOn w:val="Normal"/>
    <w:next w:val="BodyText"/>
    <w:rsid w:val="004E3FE3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4E3F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4E3FE3"/>
    <w:pPr>
      <w:ind w:left="119"/>
    </w:pPr>
  </w:style>
  <w:style w:type="paragraph" w:customStyle="1" w:styleId="SectionLabel">
    <w:name w:val="Section Label"/>
    <w:basedOn w:val="HeadingBase"/>
    <w:next w:val="BodyText"/>
    <w:rsid w:val="004E3FE3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4E3FE3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4E3F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4E3FE3"/>
    <w:rPr>
      <w:b/>
      <w:vertAlign w:val="superscript"/>
    </w:rPr>
  </w:style>
  <w:style w:type="paragraph" w:styleId="TableofAuthorities">
    <w:name w:val="table of authorities"/>
    <w:basedOn w:val="Normal"/>
    <w:semiHidden/>
    <w:rsid w:val="004E3FE3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4E3FE3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4E3F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4E3F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4E3FE3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4E3FE3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4E3FE3"/>
    <w:pPr>
      <w:ind w:left="360"/>
    </w:pPr>
  </w:style>
  <w:style w:type="paragraph" w:styleId="TOC4">
    <w:name w:val="toc 4"/>
    <w:basedOn w:val="TOCBase"/>
    <w:autoRedefine/>
    <w:semiHidden/>
    <w:rsid w:val="004E3FE3"/>
    <w:pPr>
      <w:ind w:left="360"/>
    </w:pPr>
  </w:style>
  <w:style w:type="paragraph" w:styleId="TOC5">
    <w:name w:val="toc 5"/>
    <w:basedOn w:val="TOCBase"/>
    <w:autoRedefine/>
    <w:semiHidden/>
    <w:rsid w:val="004E3FE3"/>
    <w:pPr>
      <w:ind w:left="360"/>
    </w:pPr>
  </w:style>
  <w:style w:type="paragraph" w:styleId="BalloonText">
    <w:name w:val="Balloon Text"/>
    <w:basedOn w:val="Normal"/>
    <w:semiHidden/>
    <w:rsid w:val="004E3FE3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4E3FE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4E3FE3"/>
    <w:rPr>
      <w:color w:val="0000FF"/>
      <w:u w:val="single"/>
    </w:rPr>
  </w:style>
  <w:style w:type="character" w:styleId="Strong">
    <w:name w:val="Strong"/>
    <w:qFormat/>
    <w:rsid w:val="004E3FE3"/>
    <w:rPr>
      <w:b/>
    </w:rPr>
  </w:style>
  <w:style w:type="character" w:customStyle="1" w:styleId="BodyTextChar">
    <w:name w:val="Body Text Char"/>
    <w:rsid w:val="004E3FE3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4E3FE3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4E3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4E3FE3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4E3FE3"/>
    <w:rPr>
      <w:color w:val="800080"/>
      <w:u w:val="single"/>
    </w:rPr>
  </w:style>
  <w:style w:type="paragraph" w:styleId="PlainText">
    <w:name w:val="Plain Text"/>
    <w:basedOn w:val="Normal"/>
    <w:semiHidden/>
    <w:rsid w:val="004E3FE3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4E3FE3"/>
  </w:style>
  <w:style w:type="paragraph" w:customStyle="1" w:styleId="style10">
    <w:name w:val="style1"/>
    <w:basedOn w:val="Normal"/>
    <w:rsid w:val="004E3FE3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4E3FE3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4E3FE3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4E3FE3"/>
  </w:style>
  <w:style w:type="character" w:customStyle="1" w:styleId="BodyTextChar1">
    <w:name w:val="Body Text Char1"/>
    <w:link w:val="BodyText"/>
    <w:rsid w:val="004E3FE3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4E3FE3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4E3FE3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4E3FE3"/>
    <w:pPr>
      <w:numPr>
        <w:numId w:val="14"/>
      </w:numPr>
    </w:pPr>
  </w:style>
  <w:style w:type="paragraph" w:styleId="HTMLPreformatted">
    <w:name w:val="HTML Preformatted"/>
    <w:basedOn w:val="Normal"/>
    <w:rsid w:val="004E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4E3FE3"/>
    <w:pPr>
      <w:ind w:left="0"/>
      <w:jc w:val="both"/>
    </w:pPr>
  </w:style>
  <w:style w:type="character" w:customStyle="1" w:styleId="CharChar1">
    <w:name w:val=" Char Char1"/>
    <w:rsid w:val="004E3FE3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4E3FE3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4E3FE3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4E3FE3"/>
    <w:pPr>
      <w:ind w:left="0"/>
    </w:pPr>
  </w:style>
  <w:style w:type="paragraph" w:customStyle="1" w:styleId="Refs">
    <w:name w:val="Refs"/>
    <w:basedOn w:val="Bodynormal"/>
    <w:rsid w:val="004E3FE3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4E3FE3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4E3FE3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4E3FE3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4E3FE3"/>
  </w:style>
  <w:style w:type="paragraph" w:styleId="DocumentMap">
    <w:name w:val="Document Map"/>
    <w:basedOn w:val="Normal"/>
    <w:semiHidden/>
    <w:rsid w:val="004E3FE3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BF48BE"/>
    <w:rPr>
      <w:rFonts w:ascii="Arial" w:hAnsi="Arial"/>
      <w:spacing w:val="-5"/>
      <w:sz w:val="22"/>
      <w:lang w:val="en-AU" w:eastAsia="en-AU" w:bidi="ar-SA"/>
    </w:rPr>
  </w:style>
  <w:style w:type="character" w:customStyle="1" w:styleId="Heading2Char">
    <w:name w:val="Heading 2 Char"/>
    <w:link w:val="Heading2"/>
    <w:rsid w:val="00AD33BD"/>
    <w:rPr>
      <w:rFonts w:ascii="Arial Black" w:hAnsi="Arial Black"/>
      <w:spacing w:val="-15"/>
      <w:kern w:val="28"/>
      <w:sz w:val="22"/>
    </w:rPr>
  </w:style>
  <w:style w:type="paragraph" w:customStyle="1" w:styleId="ListBullet1">
    <w:name w:val="List Bullet1"/>
    <w:basedOn w:val="BodyTextordinary"/>
    <w:qFormat/>
    <w:rsid w:val="00AD33B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tsis.gov.au/atsilirn/protocols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a.org.au/about-alia/policies-standards-and-guidelines/libraries-and-information-services-and-indigenous-peopl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q.qld.gov.au/__data/assets/pdf_file/0006/64599/SLQ_-_Protocols_for_Indigenous_Collection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connect.slq.qld.gov.au/resources/aboriginal-and-torres-strait-islander-people/strategies-and-stand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sla.org.au/publication/national-policy-framework-indigenous-library-servic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3</TotalTime>
  <Pages>3</Pages>
  <Words>491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Librarires standards and guidelines</vt:lpstr>
    </vt:vector>
  </TitlesOfParts>
  <Company/>
  <LinksUpToDate>false</LinksUpToDate>
  <CharactersWithSpaces>5078</CharactersWithSpaces>
  <SharedDoc>false</SharedDoc>
  <HLinks>
    <vt:vector size="30" baseType="variant">
      <vt:variant>
        <vt:i4>3080250</vt:i4>
      </vt:variant>
      <vt:variant>
        <vt:i4>76</vt:i4>
      </vt:variant>
      <vt:variant>
        <vt:i4>0</vt:i4>
      </vt:variant>
      <vt:variant>
        <vt:i4>5</vt:i4>
      </vt:variant>
      <vt:variant>
        <vt:lpwstr>http://www.slq.qld.gov.au/__data/assets/pdf_file/0006/64599/SLQ_-_Protocols_for_Indigenous_Collections.pdf</vt:lpwstr>
      </vt:variant>
      <vt:variant>
        <vt:lpwstr/>
      </vt:variant>
      <vt:variant>
        <vt:i4>3604537</vt:i4>
      </vt:variant>
      <vt:variant>
        <vt:i4>73</vt:i4>
      </vt:variant>
      <vt:variant>
        <vt:i4>0</vt:i4>
      </vt:variant>
      <vt:variant>
        <vt:i4>5</vt:i4>
      </vt:variant>
      <vt:variant>
        <vt:lpwstr>http://www.plconnect.slq.qld.gov.au/resources/aboriginal-and-torres-strait-islander-people/strategies-and-standards</vt:lpwstr>
      </vt:variant>
      <vt:variant>
        <vt:lpwstr/>
      </vt:variant>
      <vt:variant>
        <vt:i4>524352</vt:i4>
      </vt:variant>
      <vt:variant>
        <vt:i4>70</vt:i4>
      </vt:variant>
      <vt:variant>
        <vt:i4>0</vt:i4>
      </vt:variant>
      <vt:variant>
        <vt:i4>5</vt:i4>
      </vt:variant>
      <vt:variant>
        <vt:lpwstr>http://www.nsla.org.au/publication/national-policy-framework-indigenous-library-services</vt:lpwstr>
      </vt:variant>
      <vt:variant>
        <vt:lpwstr/>
      </vt:variant>
      <vt:variant>
        <vt:i4>131154</vt:i4>
      </vt:variant>
      <vt:variant>
        <vt:i4>67</vt:i4>
      </vt:variant>
      <vt:variant>
        <vt:i4>0</vt:i4>
      </vt:variant>
      <vt:variant>
        <vt:i4>5</vt:i4>
      </vt:variant>
      <vt:variant>
        <vt:lpwstr>http://www.aiatsis.gov.au/atsilirn/protocols.php</vt:lpwstr>
      </vt:variant>
      <vt:variant>
        <vt:lpwstr/>
      </vt:variant>
      <vt:variant>
        <vt:i4>5046287</vt:i4>
      </vt:variant>
      <vt:variant>
        <vt:i4>64</vt:i4>
      </vt:variant>
      <vt:variant>
        <vt:i4>0</vt:i4>
      </vt:variant>
      <vt:variant>
        <vt:i4>5</vt:i4>
      </vt:variant>
      <vt:variant>
        <vt:lpwstr>http://www.alia.org.au/about-alia/policies-standards-and-guidelines/libraries-and-information-services-and-indigenous-peoples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Librarires standards and guidelines</dc:title>
  <dc:subject>G15 Library Services for indigenous Australians worksheet</dc:subject>
  <dc:creator>State Library NSW</dc:creator>
  <cp:keywords>guidlines, library services for indigenous Australians  worksheet</cp:keywords>
  <dc:description/>
  <cp:lastModifiedBy>Mylee Joseph</cp:lastModifiedBy>
  <cp:revision>3</cp:revision>
  <dcterms:created xsi:type="dcterms:W3CDTF">2015-11-04T01:16:00Z</dcterms:created>
  <dcterms:modified xsi:type="dcterms:W3CDTF">2015-11-04T01:19:00Z</dcterms:modified>
  <cp:contentStatus/>
</cp:coreProperties>
</file>