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B5" w:rsidRPr="00011E25" w:rsidRDefault="00B40BB5"/>
    <w:tbl>
      <w:tblPr>
        <w:tblW w:w="8522" w:type="dxa"/>
        <w:tblLayout w:type="fixed"/>
        <w:tblLook w:val="01E0" w:firstRow="1" w:lastRow="1" w:firstColumn="1" w:lastColumn="1" w:noHBand="0" w:noVBand="0"/>
      </w:tblPr>
      <w:tblGrid>
        <w:gridCol w:w="6228"/>
        <w:gridCol w:w="2294"/>
      </w:tblGrid>
      <w:tr w:rsidR="005866CC" w:rsidRPr="00011E25" w:rsidTr="00B40BB5">
        <w:tc>
          <w:tcPr>
            <w:tcW w:w="6228" w:type="dxa"/>
          </w:tcPr>
          <w:p w:rsidR="005D6942" w:rsidRPr="00011E25" w:rsidRDefault="00FF3D03" w:rsidP="003430C6">
            <w:pPr>
              <w:pStyle w:val="Heading1"/>
              <w:rPr>
                <w:rFonts w:cs="Arial"/>
                <w:szCs w:val="28"/>
              </w:rPr>
            </w:pPr>
            <w:r w:rsidRPr="00011E25">
              <w:rPr>
                <w:rFonts w:cs="Arial"/>
                <w:szCs w:val="28"/>
              </w:rPr>
              <w:t>Public Libraries Consultative Committee</w:t>
            </w:r>
          </w:p>
          <w:p w:rsidR="005D6942" w:rsidRPr="00011E25" w:rsidRDefault="005D6942" w:rsidP="001164F3">
            <w:pPr>
              <w:pStyle w:val="Subtitle"/>
            </w:pPr>
            <w:bookmarkStart w:id="0" w:name="_GoBack"/>
            <w:bookmarkEnd w:id="0"/>
            <w:r w:rsidRPr="00011E25">
              <w:t xml:space="preserve">Minutes of the </w:t>
            </w:r>
            <w:r w:rsidR="006535D8" w:rsidRPr="00011E25">
              <w:t>78</w:t>
            </w:r>
            <w:r w:rsidR="006535D8" w:rsidRPr="00011E25">
              <w:rPr>
                <w:vertAlign w:val="superscript"/>
              </w:rPr>
              <w:t>th</w:t>
            </w:r>
            <w:r w:rsidR="006535D8" w:rsidRPr="00011E25">
              <w:t xml:space="preserve"> </w:t>
            </w:r>
            <w:r w:rsidRPr="00011E25">
              <w:t xml:space="preserve">meeting held </w:t>
            </w:r>
            <w:r w:rsidR="00FF3D03" w:rsidRPr="00011E25">
              <w:t xml:space="preserve">Monday </w:t>
            </w:r>
            <w:r w:rsidR="00B40BB5" w:rsidRPr="00011E25">
              <w:t xml:space="preserve">7 December </w:t>
            </w:r>
            <w:r w:rsidR="005844AB" w:rsidRPr="00011E25">
              <w:t>2015</w:t>
            </w:r>
          </w:p>
          <w:p w:rsidR="005D6942" w:rsidRPr="00011E25" w:rsidRDefault="00B40BB5" w:rsidP="001164F3">
            <w:pPr>
              <w:pStyle w:val="Subtitle"/>
            </w:pPr>
            <w:r w:rsidRPr="00011E25">
              <w:t>State Library of NSW</w:t>
            </w:r>
            <w:r w:rsidR="005A038F" w:rsidRPr="00011E25">
              <w:t xml:space="preserve">, </w:t>
            </w:r>
            <w:r w:rsidR="00B53F99" w:rsidRPr="00011E25">
              <w:t>1</w:t>
            </w:r>
            <w:r w:rsidR="005866CC" w:rsidRPr="00011E25">
              <w:t xml:space="preserve"> </w:t>
            </w:r>
            <w:r w:rsidR="00F117E5" w:rsidRPr="00011E25">
              <w:t>pm</w:t>
            </w:r>
            <w:r w:rsidRPr="00011E25">
              <w:t xml:space="preserve"> to 3 pm</w:t>
            </w:r>
          </w:p>
          <w:p w:rsidR="00987D95" w:rsidRPr="00011E25" w:rsidRDefault="00987D95" w:rsidP="00F117E5">
            <w:pPr>
              <w:pStyle w:val="Subtitle"/>
            </w:pPr>
            <w:r w:rsidRPr="00011E25">
              <w:t xml:space="preserve">TRIM File No: </w:t>
            </w:r>
            <w:r w:rsidR="00F117E5" w:rsidRPr="00011E25">
              <w:t>32540</w:t>
            </w:r>
          </w:p>
        </w:tc>
        <w:tc>
          <w:tcPr>
            <w:tcW w:w="2294" w:type="dxa"/>
          </w:tcPr>
          <w:p w:rsidR="005D6942" w:rsidRPr="00011E25" w:rsidRDefault="005A038F" w:rsidP="003430C6">
            <w:pPr>
              <w:jc w:val="center"/>
              <w:rPr>
                <w:rFonts w:cs="Arial"/>
              </w:rPr>
            </w:pPr>
            <w:r w:rsidRPr="00011E25">
              <w:rPr>
                <w:rFonts w:cs="Arial"/>
                <w:noProof/>
                <w:sz w:val="20"/>
              </w:rPr>
              <w:drawing>
                <wp:inline distT="0" distB="0" distL="0" distR="0" wp14:anchorId="333791CE" wp14:editId="75E164C6">
                  <wp:extent cx="12763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B8339F" w:rsidRPr="00011E25" w:rsidRDefault="00B8339F">
      <w:pPr>
        <w:rPr>
          <w:rFonts w:cs="Arial"/>
          <w:szCs w:val="22"/>
        </w:rPr>
      </w:pPr>
    </w:p>
    <w:p w:rsidR="005D6942" w:rsidRPr="00011E25" w:rsidRDefault="005D6942">
      <w:pPr>
        <w:rPr>
          <w:rFonts w:cs="Arial"/>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0"/>
        <w:gridCol w:w="6409"/>
        <w:gridCol w:w="1337"/>
      </w:tblGrid>
      <w:tr w:rsidR="00011E25" w:rsidRPr="00011E25" w:rsidTr="00347DF7">
        <w:tc>
          <w:tcPr>
            <w:tcW w:w="550" w:type="dxa"/>
            <w:shd w:val="clear" w:color="auto" w:fill="auto"/>
          </w:tcPr>
          <w:p w:rsidR="005D6942" w:rsidRPr="00011E25" w:rsidRDefault="005D6942" w:rsidP="00144B29">
            <w:pPr>
              <w:pStyle w:val="Heading2"/>
              <w:keepNext w:val="0"/>
              <w:numPr>
                <w:ilvl w:val="0"/>
                <w:numId w:val="1"/>
              </w:numPr>
              <w:spacing w:before="60"/>
              <w:ind w:left="357" w:hanging="357"/>
              <w:rPr>
                <w:sz w:val="24"/>
                <w:szCs w:val="24"/>
              </w:rPr>
            </w:pPr>
          </w:p>
        </w:tc>
        <w:tc>
          <w:tcPr>
            <w:tcW w:w="6409" w:type="dxa"/>
            <w:shd w:val="clear" w:color="auto" w:fill="auto"/>
          </w:tcPr>
          <w:p w:rsidR="005D6942" w:rsidRPr="00011E25" w:rsidRDefault="005D6942" w:rsidP="001164F3">
            <w:pPr>
              <w:pStyle w:val="Heading2"/>
              <w:rPr>
                <w:szCs w:val="24"/>
              </w:rPr>
            </w:pPr>
            <w:r w:rsidRPr="00011E25">
              <w:rPr>
                <w:szCs w:val="24"/>
              </w:rPr>
              <w:t>Present:</w:t>
            </w:r>
          </w:p>
          <w:p w:rsidR="005D6942" w:rsidRPr="00011E25" w:rsidRDefault="00F117E5" w:rsidP="00623A53">
            <w:pPr>
              <w:rPr>
                <w:rFonts w:cs="Arial"/>
              </w:rPr>
            </w:pPr>
            <w:r w:rsidRPr="00011E25">
              <w:rPr>
                <w:rFonts w:cs="Arial"/>
              </w:rPr>
              <w:t xml:space="preserve">Jan Richards (Library Council – Chair), Alex Byrne (State Library), </w:t>
            </w:r>
            <w:r w:rsidR="00CC7886" w:rsidRPr="00011E25">
              <w:rPr>
                <w:rFonts w:cs="Arial"/>
              </w:rPr>
              <w:t xml:space="preserve">Andrew </w:t>
            </w:r>
            <w:proofErr w:type="spellStart"/>
            <w:r w:rsidR="00A84841" w:rsidRPr="00011E25">
              <w:rPr>
                <w:rFonts w:cs="Arial"/>
              </w:rPr>
              <w:t>Tink</w:t>
            </w:r>
            <w:proofErr w:type="spellEnd"/>
            <w:r w:rsidR="00CC7886" w:rsidRPr="00011E25">
              <w:rPr>
                <w:rFonts w:cs="Arial"/>
              </w:rPr>
              <w:t xml:space="preserve"> (Library Council),</w:t>
            </w:r>
            <w:r w:rsidRPr="00011E25">
              <w:rPr>
                <w:rFonts w:cs="Arial"/>
              </w:rPr>
              <w:t xml:space="preserve"> </w:t>
            </w:r>
            <w:r w:rsidR="0082268A" w:rsidRPr="00011E25">
              <w:rPr>
                <w:rFonts w:cs="Arial"/>
              </w:rPr>
              <w:t xml:space="preserve">Lucy Milne (State Library), </w:t>
            </w:r>
            <w:r w:rsidR="005844AB" w:rsidRPr="00011E25">
              <w:rPr>
                <w:rFonts w:cs="Arial"/>
              </w:rPr>
              <w:t>Jennifer Alp</w:t>
            </w:r>
            <w:r w:rsidRPr="00011E25">
              <w:rPr>
                <w:rFonts w:cs="Arial"/>
              </w:rPr>
              <w:t xml:space="preserve"> (NSW</w:t>
            </w:r>
            <w:r w:rsidR="005844AB" w:rsidRPr="00011E25">
              <w:rPr>
                <w:rFonts w:cs="Arial"/>
              </w:rPr>
              <w:t>PLA)</w:t>
            </w:r>
            <w:r w:rsidRPr="00011E25">
              <w:rPr>
                <w:rFonts w:cs="Arial"/>
              </w:rPr>
              <w:t xml:space="preserve">, </w:t>
            </w:r>
            <w:proofErr w:type="spellStart"/>
            <w:r w:rsidRPr="00011E25">
              <w:rPr>
                <w:rFonts w:cs="Arial"/>
              </w:rPr>
              <w:t>Clr</w:t>
            </w:r>
            <w:proofErr w:type="spellEnd"/>
            <w:r w:rsidRPr="00011E25">
              <w:rPr>
                <w:rFonts w:cs="Arial"/>
              </w:rPr>
              <w:t xml:space="preserve"> Graham Smith (</w:t>
            </w:r>
            <w:r w:rsidR="005844AB" w:rsidRPr="00011E25">
              <w:rPr>
                <w:rFonts w:cs="Arial"/>
              </w:rPr>
              <w:t>NSWPLA</w:t>
            </w:r>
            <w:r w:rsidRPr="00011E25">
              <w:rPr>
                <w:rFonts w:cs="Arial"/>
              </w:rPr>
              <w:t xml:space="preserve">), </w:t>
            </w:r>
            <w:proofErr w:type="spellStart"/>
            <w:r w:rsidRPr="00011E25">
              <w:rPr>
                <w:rFonts w:cs="Arial"/>
              </w:rPr>
              <w:t>Clr</w:t>
            </w:r>
            <w:proofErr w:type="spellEnd"/>
            <w:r w:rsidRPr="00011E25">
              <w:rPr>
                <w:rFonts w:cs="Arial"/>
              </w:rPr>
              <w:t xml:space="preserve"> Julie </w:t>
            </w:r>
            <w:proofErr w:type="spellStart"/>
            <w:r w:rsidRPr="00011E25">
              <w:rPr>
                <w:rFonts w:cs="Arial"/>
              </w:rPr>
              <w:t>Hegarty</w:t>
            </w:r>
            <w:proofErr w:type="spellEnd"/>
            <w:r w:rsidRPr="00011E25">
              <w:rPr>
                <w:rFonts w:cs="Arial"/>
              </w:rPr>
              <w:t xml:space="preserve"> (</w:t>
            </w:r>
            <w:r w:rsidR="005866CC" w:rsidRPr="00011E25">
              <w:rPr>
                <w:rFonts w:cs="Arial"/>
              </w:rPr>
              <w:t>LGNSW), Robert Knight (</w:t>
            </w:r>
            <w:r w:rsidR="005844AB" w:rsidRPr="00011E25">
              <w:rPr>
                <w:rFonts w:cs="Arial"/>
              </w:rPr>
              <w:t>NSWPLA</w:t>
            </w:r>
            <w:r w:rsidR="005866CC" w:rsidRPr="00011E25">
              <w:rPr>
                <w:rFonts w:cs="Arial"/>
              </w:rPr>
              <w:t xml:space="preserve">), </w:t>
            </w:r>
            <w:proofErr w:type="spellStart"/>
            <w:r w:rsidR="00120D50" w:rsidRPr="00011E25">
              <w:rPr>
                <w:rFonts w:cs="Arial"/>
              </w:rPr>
              <w:t>Clr</w:t>
            </w:r>
            <w:proofErr w:type="spellEnd"/>
            <w:r w:rsidR="00120D50" w:rsidRPr="00011E25">
              <w:rPr>
                <w:rFonts w:cs="Arial"/>
              </w:rPr>
              <w:t xml:space="preserve"> </w:t>
            </w:r>
            <w:r w:rsidR="005844AB" w:rsidRPr="00011E25">
              <w:rPr>
                <w:rFonts w:cs="Arial"/>
              </w:rPr>
              <w:t xml:space="preserve">Linda Gill </w:t>
            </w:r>
            <w:r w:rsidR="00120D50" w:rsidRPr="00011E25">
              <w:rPr>
                <w:rFonts w:cs="Arial"/>
              </w:rPr>
              <w:t xml:space="preserve"> (NSW</w:t>
            </w:r>
            <w:r w:rsidR="005844AB" w:rsidRPr="00011E25">
              <w:rPr>
                <w:rFonts w:cs="Arial"/>
              </w:rPr>
              <w:t>PLA)</w:t>
            </w:r>
            <w:r w:rsidR="00120D50" w:rsidRPr="00011E25">
              <w:rPr>
                <w:rFonts w:cs="Arial"/>
              </w:rPr>
              <w:t xml:space="preserve">, </w:t>
            </w:r>
            <w:r w:rsidR="005866CC" w:rsidRPr="00011E25">
              <w:rPr>
                <w:rFonts w:cs="Arial"/>
              </w:rPr>
              <w:t>Cameron Morley (State Library</w:t>
            </w:r>
            <w:r w:rsidR="00B40BB5" w:rsidRPr="00011E25">
              <w:rPr>
                <w:rFonts w:cs="Arial"/>
              </w:rPr>
              <w:t>), Philippa Scarf (State Library – minutes)</w:t>
            </w:r>
          </w:p>
          <w:p w:rsidR="006F619A" w:rsidRPr="00011E25" w:rsidRDefault="006F619A" w:rsidP="0073130A">
            <w:pPr>
              <w:rPr>
                <w:rFonts w:cs="Arial"/>
              </w:rPr>
            </w:pPr>
          </w:p>
        </w:tc>
        <w:tc>
          <w:tcPr>
            <w:tcW w:w="1337" w:type="dxa"/>
            <w:shd w:val="clear" w:color="auto" w:fill="auto"/>
          </w:tcPr>
          <w:p w:rsidR="005D6942" w:rsidRPr="00011E25" w:rsidRDefault="005D6942" w:rsidP="0073130A">
            <w:pPr>
              <w:pStyle w:val="Heading2"/>
              <w:keepNext w:val="0"/>
              <w:spacing w:before="60"/>
              <w:rPr>
                <w:sz w:val="24"/>
                <w:szCs w:val="24"/>
              </w:rPr>
            </w:pPr>
          </w:p>
        </w:tc>
      </w:tr>
      <w:tr w:rsidR="00011E25" w:rsidRPr="00011E25" w:rsidTr="00347DF7">
        <w:tc>
          <w:tcPr>
            <w:tcW w:w="550" w:type="dxa"/>
            <w:shd w:val="clear" w:color="auto" w:fill="auto"/>
          </w:tcPr>
          <w:p w:rsidR="0082268A" w:rsidRPr="00011E25" w:rsidRDefault="0082268A" w:rsidP="0082268A">
            <w:pPr>
              <w:pStyle w:val="Heading2"/>
              <w:keepNext w:val="0"/>
              <w:spacing w:before="60"/>
              <w:rPr>
                <w:sz w:val="24"/>
                <w:szCs w:val="24"/>
              </w:rPr>
            </w:pPr>
          </w:p>
        </w:tc>
        <w:tc>
          <w:tcPr>
            <w:tcW w:w="6409" w:type="dxa"/>
            <w:shd w:val="clear" w:color="auto" w:fill="auto"/>
          </w:tcPr>
          <w:p w:rsidR="0082268A" w:rsidRPr="00011E25" w:rsidRDefault="0082268A" w:rsidP="001164F3">
            <w:pPr>
              <w:pStyle w:val="Heading2"/>
              <w:rPr>
                <w:szCs w:val="24"/>
              </w:rPr>
            </w:pPr>
          </w:p>
        </w:tc>
        <w:tc>
          <w:tcPr>
            <w:tcW w:w="1337" w:type="dxa"/>
            <w:shd w:val="clear" w:color="auto" w:fill="auto"/>
          </w:tcPr>
          <w:p w:rsidR="0082268A" w:rsidRPr="00011E25" w:rsidRDefault="0082268A" w:rsidP="0073130A">
            <w:pPr>
              <w:pStyle w:val="Heading2"/>
              <w:keepNext w:val="0"/>
              <w:spacing w:before="60"/>
              <w:rPr>
                <w:szCs w:val="22"/>
              </w:rPr>
            </w:pPr>
            <w:r w:rsidRPr="00011E25">
              <w:rPr>
                <w:szCs w:val="22"/>
              </w:rPr>
              <w:t>Action</w:t>
            </w:r>
          </w:p>
        </w:tc>
      </w:tr>
      <w:tr w:rsidR="00011E25" w:rsidRPr="00011E25" w:rsidTr="00347DF7">
        <w:tc>
          <w:tcPr>
            <w:tcW w:w="550" w:type="dxa"/>
            <w:shd w:val="clear" w:color="auto" w:fill="auto"/>
          </w:tcPr>
          <w:p w:rsidR="005D6942" w:rsidRPr="00011E25" w:rsidRDefault="00B77275" w:rsidP="00B77275">
            <w:pPr>
              <w:pStyle w:val="Heading2"/>
            </w:pPr>
            <w:r w:rsidRPr="00011E25">
              <w:t>1.1</w:t>
            </w:r>
          </w:p>
          <w:p w:rsidR="00B77275" w:rsidRPr="00011E25" w:rsidRDefault="00B77275" w:rsidP="00B77275"/>
        </w:tc>
        <w:tc>
          <w:tcPr>
            <w:tcW w:w="6409" w:type="dxa"/>
            <w:shd w:val="clear" w:color="auto" w:fill="auto"/>
          </w:tcPr>
          <w:p w:rsidR="005D6942" w:rsidRPr="00011E25" w:rsidRDefault="005D6942" w:rsidP="001164F3">
            <w:pPr>
              <w:pStyle w:val="Heading2"/>
            </w:pPr>
            <w:r w:rsidRPr="00011E25">
              <w:t>Apologies:</w:t>
            </w:r>
          </w:p>
          <w:p w:rsidR="0082268A" w:rsidRPr="00011E25" w:rsidRDefault="00CC7886" w:rsidP="00B40BB5">
            <w:pPr>
              <w:rPr>
                <w:rFonts w:cs="Arial"/>
              </w:rPr>
            </w:pPr>
            <w:r w:rsidRPr="00011E25">
              <w:rPr>
                <w:rFonts w:cs="Arial"/>
              </w:rPr>
              <w:t xml:space="preserve">Noel Baum (LGNSW), </w:t>
            </w:r>
            <w:r w:rsidR="00B40BB5" w:rsidRPr="00011E25">
              <w:rPr>
                <w:rFonts w:cs="Arial"/>
              </w:rPr>
              <w:t xml:space="preserve">Mark Kay (representing </w:t>
            </w:r>
            <w:proofErr w:type="spellStart"/>
            <w:r w:rsidRPr="00011E25">
              <w:rPr>
                <w:rFonts w:cs="Arial"/>
              </w:rPr>
              <w:t>Natasa</w:t>
            </w:r>
            <w:proofErr w:type="spellEnd"/>
            <w:r w:rsidRPr="00011E25">
              <w:rPr>
                <w:rFonts w:cs="Arial"/>
              </w:rPr>
              <w:t xml:space="preserve"> </w:t>
            </w:r>
            <w:proofErr w:type="spellStart"/>
            <w:r w:rsidRPr="00011E25">
              <w:rPr>
                <w:rFonts w:cs="Arial"/>
              </w:rPr>
              <w:t>Mitic</w:t>
            </w:r>
            <w:proofErr w:type="spellEnd"/>
            <w:r w:rsidR="00B40BB5" w:rsidRPr="00011E25">
              <w:rPr>
                <w:rFonts w:cs="Arial"/>
              </w:rPr>
              <w:t>,</w:t>
            </w:r>
            <w:r w:rsidRPr="00011E25">
              <w:rPr>
                <w:rFonts w:cs="Arial"/>
              </w:rPr>
              <w:t xml:space="preserve"> Office of Local Government)</w:t>
            </w:r>
            <w:r w:rsidR="005844AB" w:rsidRPr="00011E25">
              <w:rPr>
                <w:rFonts w:cs="Arial"/>
              </w:rPr>
              <w:t xml:space="preserve">, </w:t>
            </w:r>
            <w:r w:rsidR="00B40BB5" w:rsidRPr="00011E25">
              <w:rPr>
                <w:rFonts w:cs="Arial"/>
              </w:rPr>
              <w:t>Adele Casey (NSWPLA)</w:t>
            </w:r>
            <w:r w:rsidR="0082268A" w:rsidRPr="00011E25">
              <w:rPr>
                <w:rFonts w:cs="Arial"/>
              </w:rPr>
              <w:t xml:space="preserve">. </w:t>
            </w:r>
          </w:p>
          <w:p w:rsidR="0082268A" w:rsidRPr="00011E25" w:rsidRDefault="0082268A" w:rsidP="00B40BB5">
            <w:pPr>
              <w:rPr>
                <w:rFonts w:cs="Arial"/>
              </w:rPr>
            </w:pPr>
          </w:p>
          <w:p w:rsidR="006F619A" w:rsidRPr="00011E25" w:rsidRDefault="0082268A" w:rsidP="005B48BC">
            <w:pPr>
              <w:rPr>
                <w:rFonts w:cs="Arial"/>
              </w:rPr>
            </w:pPr>
            <w:r w:rsidRPr="00011E25">
              <w:rPr>
                <w:rFonts w:cs="Arial"/>
              </w:rPr>
              <w:t xml:space="preserve">The Committee </w:t>
            </w:r>
            <w:r w:rsidR="005A7B60" w:rsidRPr="00011E25">
              <w:rPr>
                <w:rFonts w:cs="Arial"/>
              </w:rPr>
              <w:t xml:space="preserve">NOTED </w:t>
            </w:r>
            <w:r w:rsidRPr="00011E25">
              <w:rPr>
                <w:rFonts w:cs="Arial"/>
              </w:rPr>
              <w:t xml:space="preserve">the retiring of Noel Baum and agreed to write </w:t>
            </w:r>
            <w:r w:rsidR="005B48BC" w:rsidRPr="00011E25">
              <w:rPr>
                <w:rFonts w:cs="Arial"/>
              </w:rPr>
              <w:t xml:space="preserve">a letter of thanks to Local Government NSW for Mr Baum’s contribution.  </w:t>
            </w:r>
            <w:r w:rsidRPr="00011E25">
              <w:rPr>
                <w:rFonts w:cs="Arial"/>
              </w:rPr>
              <w:t xml:space="preserve"> </w:t>
            </w:r>
            <w:r w:rsidR="00B40BB5" w:rsidRPr="00011E25">
              <w:rPr>
                <w:rFonts w:cs="Arial"/>
              </w:rPr>
              <w:t xml:space="preserve"> </w:t>
            </w:r>
          </w:p>
        </w:tc>
        <w:tc>
          <w:tcPr>
            <w:tcW w:w="1337" w:type="dxa"/>
            <w:shd w:val="clear" w:color="auto" w:fill="auto"/>
          </w:tcPr>
          <w:p w:rsidR="005D6942" w:rsidRPr="00011E25" w:rsidRDefault="005D6942" w:rsidP="0073130A">
            <w:pPr>
              <w:pStyle w:val="Heading2"/>
              <w:keepNext w:val="0"/>
              <w:spacing w:before="60"/>
              <w:rPr>
                <w:iCs w:val="0"/>
                <w:sz w:val="24"/>
              </w:rPr>
            </w:pPr>
          </w:p>
          <w:p w:rsidR="0082268A" w:rsidRPr="00011E25" w:rsidRDefault="0082268A" w:rsidP="0082268A"/>
          <w:p w:rsidR="0082268A" w:rsidRPr="00011E25" w:rsidRDefault="0082268A" w:rsidP="0082268A"/>
          <w:p w:rsidR="0082268A" w:rsidRPr="00011E25" w:rsidRDefault="0082268A" w:rsidP="0082268A"/>
          <w:p w:rsidR="0082268A" w:rsidRPr="00011E25" w:rsidRDefault="0082268A" w:rsidP="0082268A">
            <w:r w:rsidRPr="00011E25">
              <w:t>Cameron Morley</w:t>
            </w:r>
          </w:p>
        </w:tc>
      </w:tr>
      <w:tr w:rsidR="00011E25" w:rsidRPr="00011E25" w:rsidTr="00347DF7">
        <w:tc>
          <w:tcPr>
            <w:tcW w:w="550" w:type="dxa"/>
            <w:shd w:val="clear" w:color="auto" w:fill="auto"/>
          </w:tcPr>
          <w:p w:rsidR="00613486" w:rsidRPr="00011E25" w:rsidRDefault="00613486" w:rsidP="00B77275">
            <w:pPr>
              <w:pStyle w:val="Heading2"/>
            </w:pPr>
          </w:p>
        </w:tc>
        <w:tc>
          <w:tcPr>
            <w:tcW w:w="6409" w:type="dxa"/>
            <w:shd w:val="clear" w:color="auto" w:fill="auto"/>
          </w:tcPr>
          <w:p w:rsidR="00613486" w:rsidRPr="00011E25" w:rsidRDefault="00613486" w:rsidP="001164F3">
            <w:pPr>
              <w:pStyle w:val="Heading2"/>
            </w:pPr>
          </w:p>
        </w:tc>
        <w:tc>
          <w:tcPr>
            <w:tcW w:w="1337" w:type="dxa"/>
            <w:shd w:val="clear" w:color="auto" w:fill="auto"/>
          </w:tcPr>
          <w:p w:rsidR="00613486" w:rsidRPr="00011E25" w:rsidRDefault="00613486" w:rsidP="0073130A">
            <w:pPr>
              <w:pStyle w:val="Heading2"/>
              <w:keepNext w:val="0"/>
              <w:spacing w:before="60"/>
              <w:rPr>
                <w:iCs w:val="0"/>
                <w:sz w:val="24"/>
              </w:rPr>
            </w:pPr>
          </w:p>
        </w:tc>
      </w:tr>
      <w:tr w:rsidR="00011E25" w:rsidRPr="00011E25" w:rsidTr="00347DF7">
        <w:tc>
          <w:tcPr>
            <w:tcW w:w="550" w:type="dxa"/>
            <w:shd w:val="clear" w:color="auto" w:fill="auto"/>
          </w:tcPr>
          <w:p w:rsidR="005D6942" w:rsidRPr="00011E25" w:rsidRDefault="00B77275" w:rsidP="00B77275">
            <w:pPr>
              <w:pStyle w:val="Heading2"/>
              <w:keepNext w:val="0"/>
              <w:spacing w:before="60"/>
              <w:rPr>
                <w:bCs w:val="0"/>
                <w:iCs w:val="0"/>
                <w:sz w:val="24"/>
              </w:rPr>
            </w:pPr>
            <w:r w:rsidRPr="00011E25">
              <w:rPr>
                <w:bCs w:val="0"/>
                <w:iCs w:val="0"/>
                <w:sz w:val="24"/>
              </w:rPr>
              <w:t>2.1</w:t>
            </w:r>
          </w:p>
        </w:tc>
        <w:tc>
          <w:tcPr>
            <w:tcW w:w="6409" w:type="dxa"/>
            <w:shd w:val="clear" w:color="auto" w:fill="auto"/>
          </w:tcPr>
          <w:p w:rsidR="005D6942" w:rsidRPr="00011E25" w:rsidRDefault="005D6942" w:rsidP="001164F3">
            <w:pPr>
              <w:pStyle w:val="Heading2"/>
            </w:pPr>
            <w:r w:rsidRPr="00011E25">
              <w:t>Confirmation of previous minutes</w:t>
            </w:r>
            <w:r w:rsidR="00F117E5" w:rsidRPr="00011E25">
              <w:t xml:space="preserve"> </w:t>
            </w:r>
            <w:r w:rsidR="00E77905" w:rsidRPr="00011E25">
              <w:t>2</w:t>
            </w:r>
            <w:r w:rsidR="0082268A" w:rsidRPr="00011E25">
              <w:t>8</w:t>
            </w:r>
            <w:r w:rsidR="00E77905" w:rsidRPr="00011E25">
              <w:t xml:space="preserve"> </w:t>
            </w:r>
            <w:r w:rsidR="0082268A" w:rsidRPr="00011E25">
              <w:t>September</w:t>
            </w:r>
            <w:r w:rsidR="00E77905" w:rsidRPr="00011E25">
              <w:t xml:space="preserve"> 2015</w:t>
            </w:r>
            <w:r w:rsidRPr="00011E25">
              <w:t>:</w:t>
            </w:r>
          </w:p>
          <w:p w:rsidR="005D6942" w:rsidRPr="00011E25" w:rsidRDefault="00F117E5" w:rsidP="0073130A">
            <w:pPr>
              <w:rPr>
                <w:rFonts w:cs="Arial"/>
                <w:bCs/>
                <w:iCs/>
              </w:rPr>
            </w:pPr>
            <w:r w:rsidRPr="00011E25">
              <w:rPr>
                <w:rFonts w:cs="Arial"/>
              </w:rPr>
              <w:t xml:space="preserve">The Minutes of the </w:t>
            </w:r>
            <w:r w:rsidR="005866CC" w:rsidRPr="00011E25">
              <w:rPr>
                <w:rFonts w:cs="Arial"/>
              </w:rPr>
              <w:t>7</w:t>
            </w:r>
            <w:r w:rsidR="0082268A" w:rsidRPr="00011E25">
              <w:rPr>
                <w:rFonts w:cs="Arial"/>
              </w:rPr>
              <w:t>7</w:t>
            </w:r>
            <w:r w:rsidR="00E77905" w:rsidRPr="00011E25">
              <w:rPr>
                <w:rFonts w:cs="Arial"/>
              </w:rPr>
              <w:t>th</w:t>
            </w:r>
            <w:r w:rsidR="00CC7886" w:rsidRPr="00011E25">
              <w:rPr>
                <w:rFonts w:cs="Arial"/>
              </w:rPr>
              <w:t xml:space="preserve"> meeting </w:t>
            </w:r>
            <w:r w:rsidRPr="00011E25">
              <w:rPr>
                <w:rFonts w:cs="Arial"/>
              </w:rPr>
              <w:t xml:space="preserve">held on </w:t>
            </w:r>
            <w:r w:rsidR="00E77905" w:rsidRPr="00011E25">
              <w:rPr>
                <w:rFonts w:cs="Arial"/>
              </w:rPr>
              <w:t>2</w:t>
            </w:r>
            <w:r w:rsidR="0082268A" w:rsidRPr="00011E25">
              <w:rPr>
                <w:rFonts w:cs="Arial"/>
              </w:rPr>
              <w:t>8</w:t>
            </w:r>
            <w:r w:rsidR="00E77905" w:rsidRPr="00011E25">
              <w:rPr>
                <w:rFonts w:cs="Arial"/>
              </w:rPr>
              <w:t xml:space="preserve"> </w:t>
            </w:r>
            <w:r w:rsidR="0082268A" w:rsidRPr="00011E25">
              <w:rPr>
                <w:rFonts w:cs="Arial"/>
              </w:rPr>
              <w:t xml:space="preserve">September </w:t>
            </w:r>
            <w:r w:rsidR="00E77905" w:rsidRPr="00011E25">
              <w:rPr>
                <w:rFonts w:cs="Arial"/>
              </w:rPr>
              <w:t>2015</w:t>
            </w:r>
            <w:r w:rsidR="005866CC" w:rsidRPr="00011E25">
              <w:rPr>
                <w:rFonts w:cs="Arial"/>
              </w:rPr>
              <w:t>,</w:t>
            </w:r>
            <w:r w:rsidR="009D1469" w:rsidRPr="00011E25">
              <w:rPr>
                <w:rFonts w:cs="Arial"/>
              </w:rPr>
              <w:t xml:space="preserve"> </w:t>
            </w:r>
            <w:r w:rsidRPr="00011E25">
              <w:rPr>
                <w:rFonts w:cs="Arial"/>
              </w:rPr>
              <w:t>which had been circulated, were confirmed and accepted as a true record.</w:t>
            </w:r>
          </w:p>
          <w:p w:rsidR="006F619A" w:rsidRPr="00011E25" w:rsidRDefault="006F619A" w:rsidP="006F619A">
            <w:pPr>
              <w:rPr>
                <w:rFonts w:cs="Arial"/>
              </w:rPr>
            </w:pPr>
          </w:p>
        </w:tc>
        <w:tc>
          <w:tcPr>
            <w:tcW w:w="1337" w:type="dxa"/>
            <w:shd w:val="clear" w:color="auto" w:fill="auto"/>
          </w:tcPr>
          <w:p w:rsidR="005D6942" w:rsidRPr="00011E25" w:rsidRDefault="005D6942" w:rsidP="0073130A">
            <w:pPr>
              <w:pStyle w:val="Heading2"/>
              <w:keepNext w:val="0"/>
              <w:spacing w:before="60"/>
              <w:rPr>
                <w:bCs w:val="0"/>
                <w:iCs w:val="0"/>
                <w:sz w:val="24"/>
              </w:rPr>
            </w:pPr>
          </w:p>
        </w:tc>
      </w:tr>
      <w:tr w:rsidR="00011E25" w:rsidRPr="00011E25" w:rsidTr="00347DF7">
        <w:tc>
          <w:tcPr>
            <w:tcW w:w="550" w:type="dxa"/>
            <w:shd w:val="clear" w:color="auto" w:fill="auto"/>
          </w:tcPr>
          <w:p w:rsidR="00613486" w:rsidRPr="00011E25" w:rsidRDefault="00613486" w:rsidP="00B77275">
            <w:pPr>
              <w:pStyle w:val="Heading2"/>
              <w:keepNext w:val="0"/>
              <w:spacing w:before="60"/>
              <w:rPr>
                <w:bCs w:val="0"/>
                <w:iCs w:val="0"/>
                <w:sz w:val="24"/>
              </w:rPr>
            </w:pPr>
          </w:p>
        </w:tc>
        <w:tc>
          <w:tcPr>
            <w:tcW w:w="6409" w:type="dxa"/>
            <w:shd w:val="clear" w:color="auto" w:fill="auto"/>
          </w:tcPr>
          <w:p w:rsidR="00613486" w:rsidRPr="00011E25" w:rsidRDefault="00613486" w:rsidP="001164F3">
            <w:pPr>
              <w:pStyle w:val="Heading2"/>
            </w:pPr>
          </w:p>
        </w:tc>
        <w:tc>
          <w:tcPr>
            <w:tcW w:w="1337" w:type="dxa"/>
            <w:shd w:val="clear" w:color="auto" w:fill="auto"/>
          </w:tcPr>
          <w:p w:rsidR="00613486" w:rsidRPr="00011E25" w:rsidRDefault="00613486" w:rsidP="0073130A">
            <w:pPr>
              <w:pStyle w:val="Heading2"/>
              <w:keepNext w:val="0"/>
              <w:spacing w:before="60"/>
              <w:rPr>
                <w:bCs w:val="0"/>
                <w:iCs w:val="0"/>
                <w:sz w:val="24"/>
              </w:rPr>
            </w:pPr>
          </w:p>
        </w:tc>
      </w:tr>
      <w:tr w:rsidR="00011E25" w:rsidRPr="00011E25" w:rsidTr="00347DF7">
        <w:tc>
          <w:tcPr>
            <w:tcW w:w="550" w:type="dxa"/>
            <w:shd w:val="clear" w:color="auto" w:fill="auto"/>
          </w:tcPr>
          <w:p w:rsidR="005D6942" w:rsidRPr="00011E25" w:rsidRDefault="00B77275" w:rsidP="00B77275">
            <w:pPr>
              <w:pStyle w:val="Heading2"/>
              <w:keepNext w:val="0"/>
              <w:spacing w:before="60"/>
              <w:rPr>
                <w:bCs w:val="0"/>
                <w:iCs w:val="0"/>
                <w:sz w:val="24"/>
              </w:rPr>
            </w:pPr>
            <w:r w:rsidRPr="00011E25">
              <w:rPr>
                <w:bCs w:val="0"/>
                <w:iCs w:val="0"/>
                <w:sz w:val="24"/>
              </w:rPr>
              <w:t>2.2</w:t>
            </w:r>
          </w:p>
        </w:tc>
        <w:tc>
          <w:tcPr>
            <w:tcW w:w="6409" w:type="dxa"/>
            <w:shd w:val="clear" w:color="auto" w:fill="auto"/>
          </w:tcPr>
          <w:p w:rsidR="004677B9" w:rsidRPr="00011E25" w:rsidRDefault="00A02989" w:rsidP="00267BCC">
            <w:pPr>
              <w:pStyle w:val="Heading2"/>
              <w:rPr>
                <w:b w:val="0"/>
              </w:rPr>
            </w:pPr>
            <w:r w:rsidRPr="00011E25">
              <w:t>Business Arising from previous minutes</w:t>
            </w:r>
            <w:proofErr w:type="gramStart"/>
            <w:r w:rsidRPr="00011E25">
              <w:t>:</w:t>
            </w:r>
            <w:proofErr w:type="gramEnd"/>
            <w:r w:rsidR="00267BCC" w:rsidRPr="00011E25">
              <w:br/>
            </w:r>
            <w:r w:rsidR="00E14523" w:rsidRPr="00011E25">
              <w:rPr>
                <w:b w:val="0"/>
              </w:rPr>
              <w:t xml:space="preserve">Strategic Network Committee: </w:t>
            </w:r>
            <w:r w:rsidR="00267BCC" w:rsidRPr="00011E25">
              <w:rPr>
                <w:b w:val="0"/>
              </w:rPr>
              <w:t>T</w:t>
            </w:r>
            <w:r w:rsidR="00E14523" w:rsidRPr="00011E25">
              <w:rPr>
                <w:b w:val="0"/>
              </w:rPr>
              <w:t xml:space="preserve">erms of </w:t>
            </w:r>
            <w:r w:rsidR="00267BCC" w:rsidRPr="00011E25">
              <w:rPr>
                <w:b w:val="0"/>
              </w:rPr>
              <w:t>R</w:t>
            </w:r>
            <w:r w:rsidR="00E14523" w:rsidRPr="00011E25">
              <w:rPr>
                <w:b w:val="0"/>
              </w:rPr>
              <w:t>eference</w:t>
            </w:r>
            <w:r w:rsidR="00716712" w:rsidRPr="00011E25">
              <w:rPr>
                <w:b w:val="0"/>
              </w:rPr>
              <w:t xml:space="preserve"> were presented to the Committee for information. Linda Gill </w:t>
            </w:r>
            <w:r w:rsidR="004677B9" w:rsidRPr="00011E25">
              <w:rPr>
                <w:b w:val="0"/>
              </w:rPr>
              <w:t xml:space="preserve">commented on the review of the public libraries working groups. Cameron Morley </w:t>
            </w:r>
            <w:r w:rsidR="00267BCC" w:rsidRPr="00011E25">
              <w:rPr>
                <w:b w:val="0"/>
              </w:rPr>
              <w:t>stated</w:t>
            </w:r>
            <w:r w:rsidR="001E4DC0" w:rsidRPr="00011E25">
              <w:rPr>
                <w:b w:val="0"/>
              </w:rPr>
              <w:t xml:space="preserve"> that </w:t>
            </w:r>
            <w:r w:rsidR="00267BCC" w:rsidRPr="00011E25">
              <w:rPr>
                <w:b w:val="0"/>
              </w:rPr>
              <w:t xml:space="preserve">this will </w:t>
            </w:r>
            <w:r w:rsidR="004677B9" w:rsidRPr="00011E25">
              <w:rPr>
                <w:b w:val="0"/>
              </w:rPr>
              <w:t xml:space="preserve">be the first project undertaken by the Committee in consultation with the working groups. </w:t>
            </w:r>
          </w:p>
          <w:p w:rsidR="004677B9" w:rsidRPr="00011E25" w:rsidRDefault="004677B9" w:rsidP="004677B9"/>
          <w:p w:rsidR="00E14523" w:rsidRPr="00011E25" w:rsidRDefault="004677B9" w:rsidP="00A02989">
            <w:r w:rsidRPr="00011E25">
              <w:t>Public Library Funding Strategy 2015/16 progress report</w:t>
            </w:r>
            <w:r w:rsidR="00A02989" w:rsidRPr="00011E25">
              <w:t xml:space="preserve">:  </w:t>
            </w:r>
            <w:r w:rsidRPr="00011E25">
              <w:t xml:space="preserve"> </w:t>
            </w:r>
            <w:r w:rsidR="00A02989" w:rsidRPr="00011E25">
              <w:t xml:space="preserve">the Public Library subsidy has been approved. </w:t>
            </w:r>
            <w:r w:rsidR="00716712" w:rsidRPr="00011E25">
              <w:br/>
            </w:r>
          </w:p>
        </w:tc>
        <w:tc>
          <w:tcPr>
            <w:tcW w:w="1337" w:type="dxa"/>
            <w:shd w:val="clear" w:color="auto" w:fill="auto"/>
          </w:tcPr>
          <w:p w:rsidR="005D6942" w:rsidRPr="00011E25" w:rsidRDefault="00E14523" w:rsidP="00E14523">
            <w:pPr>
              <w:pStyle w:val="Heading2"/>
              <w:keepNext w:val="0"/>
              <w:spacing w:before="60"/>
              <w:rPr>
                <w:b w:val="0"/>
                <w:bCs w:val="0"/>
                <w:iCs w:val="0"/>
                <w:szCs w:val="22"/>
              </w:rPr>
            </w:pPr>
            <w:r w:rsidRPr="00011E25">
              <w:rPr>
                <w:b w:val="0"/>
                <w:bCs w:val="0"/>
                <w:iCs w:val="0"/>
                <w:szCs w:val="22"/>
              </w:rPr>
              <w:t>Cameron Morley</w:t>
            </w:r>
          </w:p>
        </w:tc>
      </w:tr>
      <w:tr w:rsidR="00011E25" w:rsidRPr="00011E25" w:rsidTr="00347DF7">
        <w:tc>
          <w:tcPr>
            <w:tcW w:w="550" w:type="dxa"/>
            <w:shd w:val="clear" w:color="auto" w:fill="auto"/>
          </w:tcPr>
          <w:p w:rsidR="00613486" w:rsidRPr="00011E25" w:rsidRDefault="00613486" w:rsidP="00B77275">
            <w:pPr>
              <w:pStyle w:val="Heading2"/>
              <w:keepNext w:val="0"/>
              <w:spacing w:before="60"/>
              <w:rPr>
                <w:bCs w:val="0"/>
                <w:iCs w:val="0"/>
                <w:sz w:val="24"/>
              </w:rPr>
            </w:pPr>
          </w:p>
        </w:tc>
        <w:tc>
          <w:tcPr>
            <w:tcW w:w="6409" w:type="dxa"/>
            <w:shd w:val="clear" w:color="auto" w:fill="auto"/>
          </w:tcPr>
          <w:p w:rsidR="00613486" w:rsidRPr="00011E25" w:rsidRDefault="00613486" w:rsidP="00267BCC">
            <w:pPr>
              <w:pStyle w:val="Heading2"/>
            </w:pPr>
          </w:p>
        </w:tc>
        <w:tc>
          <w:tcPr>
            <w:tcW w:w="1337" w:type="dxa"/>
            <w:shd w:val="clear" w:color="auto" w:fill="auto"/>
          </w:tcPr>
          <w:p w:rsidR="00613486" w:rsidRPr="00011E25" w:rsidRDefault="00613486" w:rsidP="00E14523">
            <w:pPr>
              <w:pStyle w:val="Heading2"/>
              <w:keepNext w:val="0"/>
              <w:spacing w:before="60"/>
              <w:rPr>
                <w:b w:val="0"/>
                <w:bCs w:val="0"/>
                <w:iCs w:val="0"/>
                <w:szCs w:val="22"/>
              </w:rPr>
            </w:pPr>
          </w:p>
        </w:tc>
      </w:tr>
      <w:tr w:rsidR="00011E25" w:rsidRPr="00011E25" w:rsidTr="00347DF7">
        <w:tc>
          <w:tcPr>
            <w:tcW w:w="550" w:type="dxa"/>
            <w:shd w:val="clear" w:color="auto" w:fill="auto"/>
          </w:tcPr>
          <w:p w:rsidR="00B6777E" w:rsidRPr="00011E25" w:rsidRDefault="00A02989" w:rsidP="00A02989">
            <w:pPr>
              <w:pStyle w:val="Heading2"/>
              <w:keepNext w:val="0"/>
              <w:spacing w:before="60"/>
              <w:rPr>
                <w:iCs w:val="0"/>
                <w:sz w:val="24"/>
              </w:rPr>
            </w:pPr>
            <w:r w:rsidRPr="00011E25">
              <w:rPr>
                <w:iCs w:val="0"/>
                <w:sz w:val="24"/>
              </w:rPr>
              <w:t>3.1</w:t>
            </w:r>
          </w:p>
        </w:tc>
        <w:tc>
          <w:tcPr>
            <w:tcW w:w="6409" w:type="dxa"/>
            <w:shd w:val="clear" w:color="auto" w:fill="auto"/>
          </w:tcPr>
          <w:p w:rsidR="00EA307E" w:rsidRPr="00011E25" w:rsidRDefault="001E4DC0" w:rsidP="001E4DC0">
            <w:pPr>
              <w:pStyle w:val="Heading2"/>
            </w:pPr>
            <w:r w:rsidRPr="00011E25">
              <w:t>Fit for the Future: strategic response</w:t>
            </w:r>
          </w:p>
          <w:p w:rsidR="00B6777E" w:rsidRPr="00011E25" w:rsidRDefault="00E5194D" w:rsidP="00E5194D">
            <w:pPr>
              <w:pStyle w:val="ListParagraph"/>
              <w:ind w:left="0"/>
              <w:rPr>
                <w:sz w:val="22"/>
                <w:szCs w:val="22"/>
              </w:rPr>
            </w:pPr>
            <w:r w:rsidRPr="00011E25">
              <w:rPr>
                <w:sz w:val="22"/>
                <w:szCs w:val="22"/>
              </w:rPr>
              <w:t xml:space="preserve">Cameron Morley briefed the Committee on the development of a strategic response to Fit for the Future to assist libraries transition to new arrangements. </w:t>
            </w:r>
          </w:p>
          <w:p w:rsidR="00E5194D" w:rsidRPr="00011E25" w:rsidRDefault="00E5194D" w:rsidP="00E5194D">
            <w:pPr>
              <w:pStyle w:val="Heading2"/>
            </w:pPr>
            <w:r w:rsidRPr="00011E25">
              <w:t>Background</w:t>
            </w:r>
          </w:p>
          <w:p w:rsidR="00E5194D" w:rsidRPr="00011E25" w:rsidRDefault="00E5194D" w:rsidP="00FD0E1C">
            <w:pPr>
              <w:rPr>
                <w:szCs w:val="22"/>
              </w:rPr>
            </w:pPr>
            <w:r w:rsidRPr="00011E25">
              <w:rPr>
                <w:szCs w:val="22"/>
              </w:rPr>
              <w:t xml:space="preserve">The NSW Government’s Fit for the Future Initiative will reform local government in NSW through council mergers, new </w:t>
            </w:r>
            <w:r w:rsidRPr="00011E25">
              <w:rPr>
                <w:szCs w:val="22"/>
              </w:rPr>
              <w:lastRenderedPageBreak/>
              <w:t>collaborative structures (Joint Organisations) and a new approach to governance in western NSW (the Far West Initiative).</w:t>
            </w:r>
          </w:p>
          <w:p w:rsidR="00E5194D" w:rsidRPr="00011E25" w:rsidRDefault="00E5194D" w:rsidP="00FD0E1C">
            <w:pPr>
              <w:rPr>
                <w:szCs w:val="22"/>
              </w:rPr>
            </w:pPr>
          </w:p>
          <w:p w:rsidR="00E5194D" w:rsidRPr="00011E25" w:rsidRDefault="00E5194D" w:rsidP="00FD0E1C">
            <w:pPr>
              <w:rPr>
                <w:szCs w:val="22"/>
              </w:rPr>
            </w:pPr>
            <w:r w:rsidRPr="00011E25">
              <w:rPr>
                <w:szCs w:val="22"/>
              </w:rPr>
              <w:t xml:space="preserve">In 2015, 151 NSW local councils provide 101 library services across 376 locations. The two broad types of library service in NSW are </w:t>
            </w:r>
            <w:r w:rsidRPr="00011E25">
              <w:rPr>
                <w:i/>
                <w:szCs w:val="22"/>
              </w:rPr>
              <w:t xml:space="preserve">independent </w:t>
            </w:r>
            <w:r w:rsidRPr="00011E25">
              <w:rPr>
                <w:szCs w:val="22"/>
              </w:rPr>
              <w:t xml:space="preserve">(one council, one library service) and </w:t>
            </w:r>
            <w:r w:rsidRPr="00011E25">
              <w:rPr>
                <w:i/>
                <w:szCs w:val="22"/>
              </w:rPr>
              <w:t>regional</w:t>
            </w:r>
            <w:r w:rsidRPr="00011E25">
              <w:rPr>
                <w:szCs w:val="22"/>
              </w:rPr>
              <w:t xml:space="preserve"> (multiple councils, one library service).</w:t>
            </w:r>
          </w:p>
          <w:p w:rsidR="00E5194D" w:rsidRPr="00011E25" w:rsidRDefault="00E5194D" w:rsidP="00FD0E1C">
            <w:pPr>
              <w:rPr>
                <w:szCs w:val="22"/>
              </w:rPr>
            </w:pPr>
          </w:p>
          <w:p w:rsidR="00E5194D" w:rsidRPr="00011E25" w:rsidRDefault="00E5194D" w:rsidP="00FD0E1C">
            <w:pPr>
              <w:rPr>
                <w:szCs w:val="22"/>
              </w:rPr>
            </w:pPr>
            <w:r w:rsidRPr="00011E25">
              <w:rPr>
                <w:szCs w:val="22"/>
              </w:rPr>
              <w:t>The paper and associated spreadsheet examine the implications for library services in light of the recommendations for council reform published by the Office of Local Government (OLG) in September 2014 and the Independent Pricing and Regulatory Tribunal (IPART) in October 2015.</w:t>
            </w:r>
          </w:p>
          <w:p w:rsidR="00E5194D" w:rsidRPr="00011E25" w:rsidRDefault="00E5194D" w:rsidP="00FD0E1C">
            <w:pPr>
              <w:rPr>
                <w:szCs w:val="22"/>
              </w:rPr>
            </w:pPr>
          </w:p>
          <w:p w:rsidR="00E5194D" w:rsidRPr="00011E25" w:rsidRDefault="00E5194D" w:rsidP="00FD0E1C">
            <w:pPr>
              <w:rPr>
                <w:szCs w:val="22"/>
              </w:rPr>
            </w:pPr>
            <w:r w:rsidRPr="00011E25">
              <w:rPr>
                <w:szCs w:val="22"/>
              </w:rPr>
              <w:t xml:space="preserve">The OLG and IPART reports </w:t>
            </w:r>
            <w:r w:rsidR="00184C77" w:rsidRPr="00011E25">
              <w:rPr>
                <w:szCs w:val="22"/>
              </w:rPr>
              <w:t>found that at least 142 of the S</w:t>
            </w:r>
            <w:r w:rsidRPr="00011E25">
              <w:rPr>
                <w:szCs w:val="22"/>
              </w:rPr>
              <w:t>tate’s 152 councils are recommended for reform, which will have significant flow on effects for public library arrangements.</w:t>
            </w:r>
          </w:p>
          <w:p w:rsidR="00E5194D" w:rsidRPr="00011E25" w:rsidRDefault="00E5194D" w:rsidP="00FD0E1C">
            <w:pPr>
              <w:rPr>
                <w:szCs w:val="22"/>
              </w:rPr>
            </w:pPr>
          </w:p>
          <w:p w:rsidR="00E5194D" w:rsidRPr="00011E25" w:rsidRDefault="00E5194D" w:rsidP="00FD0E1C">
            <w:pPr>
              <w:rPr>
                <w:szCs w:val="22"/>
              </w:rPr>
            </w:pPr>
            <w:r w:rsidRPr="00011E25">
              <w:rPr>
                <w:szCs w:val="22"/>
              </w:rPr>
              <w:t>A key recommendation for many rural councils is that they are to form a Joint Organisation (JO) with councils in their region for the strategic cooperative management of services.</w:t>
            </w:r>
          </w:p>
          <w:p w:rsidR="00E5194D" w:rsidRPr="00011E25" w:rsidRDefault="00E5194D" w:rsidP="00FD0E1C">
            <w:pPr>
              <w:rPr>
                <w:b/>
                <w:szCs w:val="22"/>
              </w:rPr>
            </w:pPr>
          </w:p>
          <w:p w:rsidR="00E5194D" w:rsidRPr="00011E25" w:rsidRDefault="00E5194D" w:rsidP="00FD0E1C">
            <w:pPr>
              <w:rPr>
                <w:b/>
                <w:szCs w:val="22"/>
              </w:rPr>
            </w:pPr>
            <w:r w:rsidRPr="00011E25">
              <w:rPr>
                <w:b/>
                <w:szCs w:val="22"/>
              </w:rPr>
              <w:t>Effect of Reform</w:t>
            </w:r>
          </w:p>
          <w:p w:rsidR="00E5194D" w:rsidRPr="00011E25" w:rsidRDefault="00E5194D" w:rsidP="00FD0E1C">
            <w:pPr>
              <w:rPr>
                <w:szCs w:val="22"/>
              </w:rPr>
            </w:pPr>
            <w:r w:rsidRPr="00011E25">
              <w:rPr>
                <w:szCs w:val="22"/>
              </w:rPr>
              <w:t xml:space="preserve">Where two or more councils merge to form a new council, or move to joint arrangements, the merger of the former councils’ library services will necessitate the integration of Library Management Systems (LMS), collections (including record metadata), membership data, as well as integration of staff, policies and procedures. </w:t>
            </w:r>
          </w:p>
          <w:p w:rsidR="00E5194D" w:rsidRPr="00011E25" w:rsidRDefault="00E5194D" w:rsidP="00FD0E1C">
            <w:pPr>
              <w:rPr>
                <w:szCs w:val="22"/>
              </w:rPr>
            </w:pPr>
          </w:p>
          <w:p w:rsidR="00E5194D" w:rsidRPr="00011E25" w:rsidRDefault="00E5194D" w:rsidP="00FD0E1C">
            <w:pPr>
              <w:rPr>
                <w:szCs w:val="22"/>
              </w:rPr>
            </w:pPr>
            <w:r w:rsidRPr="00011E25">
              <w:rPr>
                <w:szCs w:val="22"/>
              </w:rPr>
              <w:t>Analysis of the OLG and IPART recommendations suggests that there will be four broad types of library merger:</w:t>
            </w:r>
          </w:p>
          <w:p w:rsidR="00F56ECB" w:rsidRPr="00011E25" w:rsidRDefault="00F56ECB" w:rsidP="00FD0E1C">
            <w:pPr>
              <w:rPr>
                <w:szCs w:val="22"/>
              </w:rPr>
            </w:pPr>
          </w:p>
          <w:p w:rsidR="00E5194D" w:rsidRPr="00011E25" w:rsidRDefault="00E5194D" w:rsidP="0073209F">
            <w:pPr>
              <w:pStyle w:val="ListParagraph"/>
              <w:numPr>
                <w:ilvl w:val="0"/>
                <w:numId w:val="37"/>
              </w:numPr>
              <w:rPr>
                <w:sz w:val="22"/>
                <w:szCs w:val="22"/>
              </w:rPr>
            </w:pPr>
            <w:r w:rsidRPr="00011E25">
              <w:rPr>
                <w:sz w:val="22"/>
                <w:szCs w:val="22"/>
              </w:rPr>
              <w:t xml:space="preserve">Two or more existing independent library services merge. </w:t>
            </w:r>
          </w:p>
          <w:p w:rsidR="00F56ECB" w:rsidRPr="00011E25" w:rsidRDefault="00E5194D" w:rsidP="0073209F">
            <w:pPr>
              <w:pStyle w:val="ListParagraph"/>
              <w:numPr>
                <w:ilvl w:val="0"/>
                <w:numId w:val="37"/>
              </w:numPr>
              <w:rPr>
                <w:sz w:val="22"/>
                <w:szCs w:val="22"/>
              </w:rPr>
            </w:pPr>
            <w:r w:rsidRPr="00011E25">
              <w:rPr>
                <w:sz w:val="22"/>
                <w:szCs w:val="22"/>
              </w:rPr>
              <w:t xml:space="preserve">One council that is part of a regional library service leaves the current arrangement and joins another. In many cases a branch of an existing library service will need to join a library service managed by another council. </w:t>
            </w:r>
          </w:p>
          <w:p w:rsidR="00E5194D" w:rsidRPr="00011E25" w:rsidRDefault="00E5194D" w:rsidP="0073209F">
            <w:pPr>
              <w:pStyle w:val="ListParagraph"/>
              <w:numPr>
                <w:ilvl w:val="0"/>
                <w:numId w:val="37"/>
              </w:numPr>
              <w:rPr>
                <w:sz w:val="22"/>
                <w:szCs w:val="22"/>
              </w:rPr>
            </w:pPr>
            <w:r w:rsidRPr="00011E25">
              <w:rPr>
                <w:sz w:val="22"/>
                <w:szCs w:val="22"/>
              </w:rPr>
              <w:t xml:space="preserve">An independent library service joins a regional arrangement. </w:t>
            </w:r>
          </w:p>
          <w:p w:rsidR="00E5194D" w:rsidRPr="00011E25" w:rsidRDefault="00E5194D" w:rsidP="0073209F">
            <w:pPr>
              <w:pStyle w:val="ListParagraph"/>
              <w:numPr>
                <w:ilvl w:val="0"/>
                <w:numId w:val="37"/>
              </w:numPr>
              <w:rPr>
                <w:sz w:val="22"/>
                <w:szCs w:val="22"/>
              </w:rPr>
            </w:pPr>
            <w:r w:rsidRPr="00011E25">
              <w:rPr>
                <w:sz w:val="22"/>
                <w:szCs w:val="22"/>
              </w:rPr>
              <w:t xml:space="preserve">Where councils may only continue as part of a Joint Organisation, their library services may move to collaborative arrangements. </w:t>
            </w:r>
          </w:p>
          <w:p w:rsidR="00F56ECB" w:rsidRPr="00011E25" w:rsidRDefault="00F56ECB" w:rsidP="00F56ECB">
            <w:pPr>
              <w:pStyle w:val="ListParagraph"/>
              <w:ind w:left="360"/>
            </w:pPr>
          </w:p>
          <w:p w:rsidR="00E5194D" w:rsidRPr="00011E25" w:rsidRDefault="00E5194D" w:rsidP="00FD0E1C">
            <w:pPr>
              <w:rPr>
                <w:b/>
                <w:szCs w:val="22"/>
              </w:rPr>
            </w:pPr>
            <w:r w:rsidRPr="00011E25">
              <w:rPr>
                <w:b/>
                <w:szCs w:val="22"/>
              </w:rPr>
              <w:t>Far West Initiative</w:t>
            </w:r>
          </w:p>
          <w:p w:rsidR="00E5194D" w:rsidRPr="00011E25" w:rsidRDefault="00E5194D" w:rsidP="00FD0E1C">
            <w:pPr>
              <w:rPr>
                <w:szCs w:val="22"/>
              </w:rPr>
            </w:pPr>
            <w:r w:rsidRPr="00011E25">
              <w:rPr>
                <w:szCs w:val="22"/>
              </w:rPr>
              <w:t xml:space="preserve">The Far West Initiative will involve the integration of Balranald, Bourke, Brewarrina, Broken Hill, Central Darling, Cobar, Walgett and Wentworth Councils into a joint governance model. </w:t>
            </w:r>
          </w:p>
          <w:p w:rsidR="00E5194D" w:rsidRPr="00011E25" w:rsidRDefault="00E5194D" w:rsidP="00FD0E1C">
            <w:pPr>
              <w:rPr>
                <w:szCs w:val="22"/>
              </w:rPr>
            </w:pPr>
          </w:p>
          <w:p w:rsidR="00E5194D" w:rsidRPr="00011E25" w:rsidRDefault="00E5194D" w:rsidP="00FD0E1C">
            <w:pPr>
              <w:rPr>
                <w:szCs w:val="22"/>
              </w:rPr>
            </w:pPr>
            <w:r w:rsidRPr="00011E25">
              <w:rPr>
                <w:szCs w:val="22"/>
              </w:rPr>
              <w:t>Currently library services in the Far West are managed through a combination of:</w:t>
            </w:r>
          </w:p>
          <w:p w:rsidR="00E5194D" w:rsidRPr="00011E25" w:rsidRDefault="00E5194D" w:rsidP="00FD0E1C">
            <w:pPr>
              <w:pStyle w:val="ListParagraph"/>
              <w:numPr>
                <w:ilvl w:val="0"/>
                <w:numId w:val="30"/>
              </w:numPr>
              <w:spacing w:after="160"/>
              <w:rPr>
                <w:rFonts w:cs="Arial"/>
                <w:sz w:val="22"/>
                <w:szCs w:val="22"/>
              </w:rPr>
            </w:pPr>
            <w:r w:rsidRPr="00011E25">
              <w:rPr>
                <w:rFonts w:cs="Arial"/>
                <w:sz w:val="22"/>
                <w:szCs w:val="22"/>
              </w:rPr>
              <w:t>independent services (Balranald, Bourke, Broken Hill, Cobar and Wentworth);</w:t>
            </w:r>
          </w:p>
          <w:p w:rsidR="00E5194D" w:rsidRPr="00011E25" w:rsidRDefault="00E5194D" w:rsidP="00FD0E1C">
            <w:pPr>
              <w:pStyle w:val="ListParagraph"/>
              <w:numPr>
                <w:ilvl w:val="0"/>
                <w:numId w:val="30"/>
              </w:numPr>
              <w:spacing w:after="160"/>
              <w:rPr>
                <w:rFonts w:cs="Arial"/>
                <w:sz w:val="22"/>
                <w:szCs w:val="22"/>
              </w:rPr>
            </w:pPr>
            <w:r w:rsidRPr="00011E25">
              <w:rPr>
                <w:rFonts w:cs="Arial"/>
                <w:sz w:val="22"/>
                <w:szCs w:val="22"/>
              </w:rPr>
              <w:lastRenderedPageBreak/>
              <w:t>regional arrangements (Brewarrina and Walgett are managed by Moree Plains through Big Sky Libraries); and</w:t>
            </w:r>
          </w:p>
          <w:p w:rsidR="00E5194D" w:rsidRPr="00011E25" w:rsidRDefault="00E5194D" w:rsidP="00FD0E1C">
            <w:pPr>
              <w:pStyle w:val="ListParagraph"/>
              <w:numPr>
                <w:ilvl w:val="0"/>
                <w:numId w:val="30"/>
              </w:numPr>
              <w:spacing w:after="160"/>
              <w:rPr>
                <w:rFonts w:cs="Arial"/>
                <w:sz w:val="22"/>
                <w:szCs w:val="22"/>
              </w:rPr>
            </w:pPr>
            <w:proofErr w:type="gramStart"/>
            <w:r w:rsidRPr="00011E25">
              <w:rPr>
                <w:rFonts w:cs="Arial"/>
                <w:sz w:val="22"/>
                <w:szCs w:val="22"/>
              </w:rPr>
              <w:t>the</w:t>
            </w:r>
            <w:proofErr w:type="gramEnd"/>
            <w:r w:rsidRPr="00011E25">
              <w:rPr>
                <w:rFonts w:cs="Arial"/>
                <w:sz w:val="22"/>
                <w:szCs w:val="22"/>
              </w:rPr>
              <w:t xml:space="preserve"> Outback Letterbox Library. Under this arrangement Broken Hill serves Central Darling and Unincorporated Area residents with State Government funding assistance.</w:t>
            </w:r>
          </w:p>
          <w:p w:rsidR="00E5194D" w:rsidRPr="00011E25" w:rsidRDefault="00E5194D" w:rsidP="00FD0E1C">
            <w:pPr>
              <w:rPr>
                <w:b/>
                <w:szCs w:val="22"/>
              </w:rPr>
            </w:pPr>
            <w:r w:rsidRPr="00011E25">
              <w:rPr>
                <w:szCs w:val="22"/>
              </w:rPr>
              <w:t>It is likely that a collaborative library arrangement for the Far West</w:t>
            </w:r>
            <w:r w:rsidR="00E017F6" w:rsidRPr="00011E25">
              <w:rPr>
                <w:szCs w:val="22"/>
              </w:rPr>
              <w:t xml:space="preserve"> </w:t>
            </w:r>
            <w:r w:rsidRPr="00011E25">
              <w:rPr>
                <w:szCs w:val="22"/>
              </w:rPr>
              <w:t>will result.</w:t>
            </w:r>
          </w:p>
          <w:p w:rsidR="00E5194D" w:rsidRPr="00011E25" w:rsidRDefault="00E5194D" w:rsidP="00FD0E1C">
            <w:pPr>
              <w:rPr>
                <w:b/>
                <w:szCs w:val="22"/>
              </w:rPr>
            </w:pPr>
          </w:p>
          <w:p w:rsidR="00E5194D" w:rsidRPr="00011E25" w:rsidRDefault="00E5194D" w:rsidP="00FD0E1C">
            <w:pPr>
              <w:rPr>
                <w:b/>
                <w:szCs w:val="22"/>
              </w:rPr>
            </w:pPr>
            <w:r w:rsidRPr="00011E25">
              <w:rPr>
                <w:b/>
                <w:szCs w:val="22"/>
              </w:rPr>
              <w:t>Council by council analysis</w:t>
            </w:r>
          </w:p>
          <w:p w:rsidR="00E5194D" w:rsidRPr="00011E25" w:rsidRDefault="00A31AE2" w:rsidP="00FD0E1C">
            <w:pPr>
              <w:rPr>
                <w:szCs w:val="22"/>
              </w:rPr>
            </w:pPr>
            <w:r w:rsidRPr="00011E25">
              <w:rPr>
                <w:szCs w:val="22"/>
              </w:rPr>
              <w:t xml:space="preserve">A </w:t>
            </w:r>
            <w:r w:rsidR="00E5194D" w:rsidRPr="00011E25">
              <w:rPr>
                <w:szCs w:val="22"/>
              </w:rPr>
              <w:t xml:space="preserve">spreadsheet </w:t>
            </w:r>
            <w:r w:rsidRPr="00011E25">
              <w:rPr>
                <w:szCs w:val="22"/>
              </w:rPr>
              <w:t xml:space="preserve">was presented which </w:t>
            </w:r>
            <w:r w:rsidR="00E5194D" w:rsidRPr="00011E25">
              <w:rPr>
                <w:szCs w:val="22"/>
              </w:rPr>
              <w:t>outline</w:t>
            </w:r>
            <w:r w:rsidRPr="00011E25">
              <w:rPr>
                <w:szCs w:val="22"/>
              </w:rPr>
              <w:t>d</w:t>
            </w:r>
            <w:r w:rsidR="00E5194D" w:rsidRPr="00011E25">
              <w:rPr>
                <w:szCs w:val="22"/>
              </w:rPr>
              <w:t xml:space="preserve"> the likely implications for public library management arrangements based on the OLG and IPART recommendations. </w:t>
            </w:r>
            <w:r w:rsidR="00726E17" w:rsidRPr="00011E25">
              <w:rPr>
                <w:szCs w:val="22"/>
              </w:rPr>
              <w:t>The spreadsheet will be updated as mergers and partnerships are clarified.</w:t>
            </w:r>
          </w:p>
          <w:p w:rsidR="00E5194D" w:rsidRPr="00011E25" w:rsidRDefault="00E5194D" w:rsidP="00FD0E1C">
            <w:pPr>
              <w:rPr>
                <w:szCs w:val="22"/>
              </w:rPr>
            </w:pPr>
          </w:p>
          <w:p w:rsidR="00E5194D" w:rsidRPr="00011E25" w:rsidRDefault="00E5194D" w:rsidP="00FD0E1C">
            <w:pPr>
              <w:rPr>
                <w:b/>
                <w:szCs w:val="22"/>
              </w:rPr>
            </w:pPr>
            <w:r w:rsidRPr="00011E25">
              <w:rPr>
                <w:b/>
                <w:szCs w:val="22"/>
              </w:rPr>
              <w:t>State Library Support for Public Libraries in Transition</w:t>
            </w:r>
          </w:p>
          <w:p w:rsidR="002E11EE" w:rsidRPr="00011E25" w:rsidRDefault="00E5194D" w:rsidP="00FD0E1C">
            <w:pPr>
              <w:rPr>
                <w:szCs w:val="22"/>
              </w:rPr>
            </w:pPr>
            <w:r w:rsidRPr="00011E25">
              <w:rPr>
                <w:szCs w:val="22"/>
              </w:rPr>
              <w:t>The State Library of NSW is developing a checklist of issues that will need to be addressed to ensure the effective transition of library services to the new arrangements.</w:t>
            </w:r>
          </w:p>
          <w:p w:rsidR="002E11EE" w:rsidRPr="00011E25" w:rsidRDefault="002E11EE" w:rsidP="00FD0E1C">
            <w:pPr>
              <w:rPr>
                <w:szCs w:val="22"/>
              </w:rPr>
            </w:pPr>
          </w:p>
          <w:p w:rsidR="00E5194D" w:rsidRPr="00011E25" w:rsidRDefault="00E5194D" w:rsidP="00FD0E1C">
            <w:pPr>
              <w:spacing w:after="160"/>
              <w:rPr>
                <w:rFonts w:cs="Arial"/>
                <w:szCs w:val="22"/>
              </w:rPr>
            </w:pPr>
            <w:r w:rsidRPr="00011E25">
              <w:rPr>
                <w:rFonts w:cs="Arial"/>
                <w:b/>
                <w:szCs w:val="22"/>
              </w:rPr>
              <w:t>Development of Cooperative Agreements</w:t>
            </w:r>
            <w:r w:rsidR="00A42C9C" w:rsidRPr="00011E25">
              <w:rPr>
                <w:rFonts w:cs="Arial"/>
                <w:szCs w:val="22"/>
              </w:rPr>
              <w:br/>
            </w:r>
            <w:r w:rsidRPr="00011E25">
              <w:rPr>
                <w:rFonts w:cs="Arial"/>
                <w:szCs w:val="22"/>
              </w:rPr>
              <w:t xml:space="preserve">The State Library will assist with the development of new agreements for regional and cooperative library arrangements in compliance with the </w:t>
            </w:r>
            <w:r w:rsidRPr="00011E25">
              <w:rPr>
                <w:rFonts w:cs="Arial"/>
                <w:i/>
                <w:szCs w:val="22"/>
              </w:rPr>
              <w:t>Library Act 1939</w:t>
            </w:r>
            <w:r w:rsidRPr="00011E25">
              <w:rPr>
                <w:rFonts w:cs="Arial"/>
                <w:szCs w:val="22"/>
              </w:rPr>
              <w:t xml:space="preserve">. Most country councils are likely to be in Joint Organisations – the State Library will develop </w:t>
            </w:r>
            <w:proofErr w:type="gramStart"/>
            <w:r w:rsidRPr="00011E25">
              <w:rPr>
                <w:rFonts w:cs="Arial"/>
                <w:szCs w:val="22"/>
              </w:rPr>
              <w:t>a</w:t>
            </w:r>
            <w:proofErr w:type="gramEnd"/>
            <w:r w:rsidRPr="00011E25">
              <w:rPr>
                <w:rFonts w:cs="Arial"/>
                <w:szCs w:val="22"/>
              </w:rPr>
              <w:t xml:space="preserve"> s</w:t>
            </w:r>
            <w:r w:rsidR="00D228A3" w:rsidRPr="00011E25">
              <w:rPr>
                <w:rFonts w:cs="Arial"/>
                <w:szCs w:val="22"/>
              </w:rPr>
              <w:t>1</w:t>
            </w:r>
            <w:r w:rsidRPr="00011E25">
              <w:rPr>
                <w:rFonts w:cs="Arial"/>
                <w:szCs w:val="22"/>
              </w:rPr>
              <w:t xml:space="preserve">2A agreement for the joint management of library services through a JO. </w:t>
            </w:r>
          </w:p>
          <w:p w:rsidR="00E5194D" w:rsidRPr="00011E25" w:rsidRDefault="00E5194D" w:rsidP="00FD0E1C">
            <w:pPr>
              <w:spacing w:after="160"/>
              <w:rPr>
                <w:rFonts w:cs="Arial"/>
                <w:szCs w:val="22"/>
              </w:rPr>
            </w:pPr>
            <w:r w:rsidRPr="00011E25">
              <w:rPr>
                <w:rFonts w:cs="Arial"/>
                <w:b/>
                <w:szCs w:val="22"/>
              </w:rPr>
              <w:t>Checklist</w:t>
            </w:r>
            <w:r w:rsidR="00A42C9C" w:rsidRPr="00011E25">
              <w:rPr>
                <w:rFonts w:cs="Arial"/>
                <w:b/>
                <w:szCs w:val="22"/>
              </w:rPr>
              <w:br/>
            </w:r>
            <w:r w:rsidRPr="00011E25">
              <w:rPr>
                <w:rFonts w:cs="Arial"/>
                <w:szCs w:val="22"/>
              </w:rPr>
              <w:t>Governance - Cooperative or regional agreement with partner councils, compliant with Library Act 1939.</w:t>
            </w:r>
          </w:p>
          <w:p w:rsidR="00E5194D" w:rsidRPr="00011E25" w:rsidRDefault="00E5194D" w:rsidP="00FD0E1C">
            <w:pPr>
              <w:rPr>
                <w:rFonts w:cs="Arial"/>
                <w:szCs w:val="22"/>
              </w:rPr>
            </w:pPr>
            <w:r w:rsidRPr="00011E25">
              <w:rPr>
                <w:rFonts w:cs="Arial"/>
                <w:szCs w:val="22"/>
              </w:rPr>
              <w:t xml:space="preserve">Service offering – library services to be compliant with </w:t>
            </w:r>
            <w:r w:rsidRPr="00011E25">
              <w:rPr>
                <w:rFonts w:cs="Arial"/>
                <w:i/>
                <w:szCs w:val="22"/>
              </w:rPr>
              <w:t>Act</w:t>
            </w:r>
            <w:r w:rsidRPr="00011E25">
              <w:rPr>
                <w:rFonts w:cs="Arial"/>
                <w:szCs w:val="22"/>
              </w:rPr>
              <w:t>, and consistent with Living Learning Libraries: standards and guidelines for NSW public libraries.</w:t>
            </w:r>
          </w:p>
          <w:p w:rsidR="00E5194D" w:rsidRPr="00011E25" w:rsidRDefault="00E5194D" w:rsidP="00FD0E1C">
            <w:pPr>
              <w:rPr>
                <w:b/>
                <w:szCs w:val="22"/>
              </w:rPr>
            </w:pPr>
          </w:p>
          <w:p w:rsidR="00E5194D" w:rsidRPr="00011E25" w:rsidRDefault="00E5194D" w:rsidP="00FD0E1C">
            <w:pPr>
              <w:rPr>
                <w:rFonts w:cs="Arial"/>
                <w:b/>
                <w:szCs w:val="22"/>
              </w:rPr>
            </w:pPr>
            <w:r w:rsidRPr="00011E25">
              <w:rPr>
                <w:b/>
                <w:szCs w:val="22"/>
              </w:rPr>
              <w:t>Systems Integration – issues checklist in development</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Library Management Systems (LMS) integration (membership, circulation, catalogue)</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Collection management process (selection, procurement, cataloguing, end-processing, weeding)</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Radio Frequency Identification Systems (RFID) integration</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Integration of existing collections, including tagging and barcoding</w:t>
            </w:r>
          </w:p>
          <w:p w:rsidR="00E5194D" w:rsidRPr="00011E25" w:rsidRDefault="00AA7056" w:rsidP="00FD0E1C">
            <w:pPr>
              <w:pStyle w:val="ListParagraph"/>
              <w:numPr>
                <w:ilvl w:val="0"/>
                <w:numId w:val="31"/>
              </w:numPr>
              <w:rPr>
                <w:rFonts w:cs="Arial"/>
                <w:sz w:val="22"/>
                <w:szCs w:val="22"/>
              </w:rPr>
            </w:pPr>
            <w:r w:rsidRPr="00011E25">
              <w:rPr>
                <w:rFonts w:cs="Arial"/>
                <w:sz w:val="22"/>
                <w:szCs w:val="22"/>
              </w:rPr>
              <w:t xml:space="preserve">Connectivity and </w:t>
            </w:r>
            <w:proofErr w:type="spellStart"/>
            <w:r w:rsidRPr="00011E25">
              <w:rPr>
                <w:rFonts w:cs="Arial"/>
                <w:sz w:val="22"/>
                <w:szCs w:val="22"/>
              </w:rPr>
              <w:t>w</w:t>
            </w:r>
            <w:r w:rsidR="00E5194D" w:rsidRPr="00011E25">
              <w:rPr>
                <w:rFonts w:cs="Arial"/>
                <w:sz w:val="22"/>
                <w:szCs w:val="22"/>
              </w:rPr>
              <w:t>i</w:t>
            </w:r>
            <w:r w:rsidRPr="00011E25">
              <w:rPr>
                <w:rFonts w:cs="Arial"/>
                <w:sz w:val="22"/>
                <w:szCs w:val="22"/>
              </w:rPr>
              <w:t>-f</w:t>
            </w:r>
            <w:r w:rsidR="00E5194D" w:rsidRPr="00011E25">
              <w:rPr>
                <w:rFonts w:cs="Arial"/>
                <w:sz w:val="22"/>
                <w:szCs w:val="22"/>
              </w:rPr>
              <w:t>i</w:t>
            </w:r>
            <w:proofErr w:type="spellEnd"/>
          </w:p>
          <w:p w:rsidR="00E5194D" w:rsidRPr="00011E25" w:rsidRDefault="00E5194D" w:rsidP="00FD0E1C">
            <w:pPr>
              <w:pStyle w:val="ListParagraph"/>
              <w:numPr>
                <w:ilvl w:val="0"/>
                <w:numId w:val="31"/>
              </w:numPr>
              <w:rPr>
                <w:rFonts w:cs="Arial"/>
                <w:sz w:val="22"/>
                <w:szCs w:val="22"/>
              </w:rPr>
            </w:pPr>
            <w:r w:rsidRPr="00011E25">
              <w:rPr>
                <w:rFonts w:cs="Arial"/>
                <w:sz w:val="22"/>
                <w:szCs w:val="22"/>
              </w:rPr>
              <w:t>Library websites and apps</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Software licences</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Hardware contracts</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 xml:space="preserve">eResources (journal databases, </w:t>
            </w:r>
            <w:proofErr w:type="spellStart"/>
            <w:r w:rsidRPr="00011E25">
              <w:rPr>
                <w:rFonts w:cs="Arial"/>
                <w:sz w:val="22"/>
                <w:szCs w:val="22"/>
              </w:rPr>
              <w:t>eaudio</w:t>
            </w:r>
            <w:proofErr w:type="spellEnd"/>
            <w:r w:rsidRPr="00011E25">
              <w:rPr>
                <w:rFonts w:cs="Arial"/>
                <w:sz w:val="22"/>
                <w:szCs w:val="22"/>
              </w:rPr>
              <w:t xml:space="preserve"> downloads, </w:t>
            </w:r>
            <w:proofErr w:type="spellStart"/>
            <w:r w:rsidRPr="00011E25">
              <w:rPr>
                <w:rFonts w:cs="Arial"/>
                <w:sz w:val="22"/>
                <w:szCs w:val="22"/>
              </w:rPr>
              <w:t>ebook</w:t>
            </w:r>
            <w:proofErr w:type="spellEnd"/>
            <w:r w:rsidRPr="00011E25">
              <w:rPr>
                <w:rFonts w:cs="Arial"/>
                <w:sz w:val="22"/>
                <w:szCs w:val="22"/>
              </w:rPr>
              <w:t xml:space="preserve"> downloads)</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Contracts for supply of library materials</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Libraries Australia – holdings amendment / integration</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Fees and charges and overdue policies / account management</w:t>
            </w:r>
          </w:p>
          <w:p w:rsidR="00E5194D" w:rsidRPr="00011E25" w:rsidRDefault="00E5194D" w:rsidP="00FD0E1C">
            <w:pPr>
              <w:pStyle w:val="ListParagraph"/>
              <w:numPr>
                <w:ilvl w:val="0"/>
                <w:numId w:val="31"/>
              </w:numPr>
              <w:rPr>
                <w:rFonts w:cs="Arial"/>
                <w:sz w:val="22"/>
                <w:szCs w:val="22"/>
              </w:rPr>
            </w:pPr>
            <w:r w:rsidRPr="00011E25">
              <w:rPr>
                <w:rFonts w:cs="Arial"/>
                <w:sz w:val="22"/>
                <w:szCs w:val="22"/>
              </w:rPr>
              <w:t>Home Library Service to housebound clients</w:t>
            </w:r>
          </w:p>
          <w:p w:rsidR="00E5194D" w:rsidRPr="00011E25" w:rsidRDefault="00E5194D" w:rsidP="00FD0E1C">
            <w:pPr>
              <w:pStyle w:val="ListParagraph"/>
              <w:numPr>
                <w:ilvl w:val="0"/>
                <w:numId w:val="31"/>
              </w:numPr>
              <w:spacing w:after="160"/>
              <w:rPr>
                <w:rFonts w:cs="Arial"/>
                <w:sz w:val="22"/>
                <w:szCs w:val="22"/>
              </w:rPr>
            </w:pPr>
            <w:r w:rsidRPr="00011E25">
              <w:rPr>
                <w:rFonts w:cs="Arial"/>
                <w:sz w:val="22"/>
                <w:szCs w:val="22"/>
              </w:rPr>
              <w:lastRenderedPageBreak/>
              <w:t>Mobile library plant</w:t>
            </w:r>
          </w:p>
          <w:p w:rsidR="00E5194D" w:rsidRPr="00011E25" w:rsidRDefault="00E5194D" w:rsidP="00FD0E1C">
            <w:pPr>
              <w:pStyle w:val="Heading2"/>
              <w:rPr>
                <w:szCs w:val="22"/>
              </w:rPr>
            </w:pPr>
            <w:r w:rsidRPr="00011E25">
              <w:rPr>
                <w:szCs w:val="22"/>
              </w:rPr>
              <w:t>Plan of Action</w:t>
            </w:r>
          </w:p>
          <w:p w:rsidR="00E5194D" w:rsidRPr="00011E25" w:rsidRDefault="00E5194D" w:rsidP="00FD0E1C">
            <w:pPr>
              <w:ind w:right="46"/>
              <w:jc w:val="both"/>
              <w:rPr>
                <w:noProof/>
                <w:szCs w:val="22"/>
              </w:rPr>
            </w:pPr>
            <w:r w:rsidRPr="00011E25">
              <w:rPr>
                <w:noProof/>
                <w:szCs w:val="22"/>
              </w:rPr>
              <w:t>The State Library will continue to develop and refine resources to assist the transition, in consultation with councils and the Office of Local Government.</w:t>
            </w:r>
          </w:p>
          <w:p w:rsidR="00E5194D" w:rsidRPr="00011E25" w:rsidRDefault="00E5194D" w:rsidP="00FD0E1C">
            <w:pPr>
              <w:pStyle w:val="Heading2"/>
              <w:rPr>
                <w:szCs w:val="22"/>
              </w:rPr>
            </w:pPr>
            <w:r w:rsidRPr="00011E25">
              <w:rPr>
                <w:szCs w:val="22"/>
              </w:rPr>
              <w:t>Recommendation</w:t>
            </w:r>
          </w:p>
          <w:p w:rsidR="00E5194D" w:rsidRPr="00011E25" w:rsidRDefault="000A4E25" w:rsidP="00FD0E1C">
            <w:pPr>
              <w:jc w:val="both"/>
              <w:rPr>
                <w:rFonts w:cs="Arial"/>
                <w:szCs w:val="22"/>
              </w:rPr>
            </w:pPr>
            <w:r w:rsidRPr="00011E25">
              <w:rPr>
                <w:rFonts w:cs="Arial"/>
                <w:szCs w:val="22"/>
              </w:rPr>
              <w:t>T</w:t>
            </w:r>
            <w:r w:rsidR="00E5194D" w:rsidRPr="00011E25">
              <w:rPr>
                <w:rFonts w:cs="Arial"/>
                <w:szCs w:val="22"/>
              </w:rPr>
              <w:t>he Public Libraries Consultative Committee</w:t>
            </w:r>
            <w:r w:rsidRPr="00011E25">
              <w:rPr>
                <w:rFonts w:cs="Arial"/>
                <w:szCs w:val="22"/>
              </w:rPr>
              <w:t xml:space="preserve"> </w:t>
            </w:r>
            <w:r w:rsidR="00E5194D" w:rsidRPr="00011E25">
              <w:rPr>
                <w:rFonts w:cs="Arial"/>
                <w:szCs w:val="22"/>
              </w:rPr>
              <w:t>N</w:t>
            </w:r>
            <w:r w:rsidRPr="00011E25">
              <w:rPr>
                <w:rFonts w:cs="Arial"/>
                <w:szCs w:val="22"/>
              </w:rPr>
              <w:t xml:space="preserve">OTED </w:t>
            </w:r>
            <w:r w:rsidR="00E5194D" w:rsidRPr="00011E25">
              <w:rPr>
                <w:rFonts w:cs="Arial"/>
                <w:szCs w:val="22"/>
              </w:rPr>
              <w:t>the brief on the Fit fo</w:t>
            </w:r>
            <w:r w:rsidR="004A2E57" w:rsidRPr="00011E25">
              <w:rPr>
                <w:rFonts w:cs="Arial"/>
                <w:szCs w:val="22"/>
              </w:rPr>
              <w:t xml:space="preserve">r the Future strategic response and commended Cameron Morley for </w:t>
            </w:r>
            <w:r w:rsidR="00815293" w:rsidRPr="00011E25">
              <w:rPr>
                <w:rFonts w:cs="Arial"/>
                <w:szCs w:val="22"/>
              </w:rPr>
              <w:t xml:space="preserve">the </w:t>
            </w:r>
            <w:r w:rsidR="004A2E57" w:rsidRPr="00011E25">
              <w:rPr>
                <w:rFonts w:cs="Arial"/>
                <w:szCs w:val="22"/>
              </w:rPr>
              <w:t xml:space="preserve">comprehensive report.  </w:t>
            </w:r>
          </w:p>
          <w:p w:rsidR="00B6777E" w:rsidRPr="00011E25" w:rsidRDefault="00B6777E" w:rsidP="00F21FFC">
            <w:pPr>
              <w:pStyle w:val="ListParagraph"/>
              <w:ind w:left="372"/>
              <w:rPr>
                <w:iCs/>
              </w:rPr>
            </w:pPr>
          </w:p>
        </w:tc>
        <w:tc>
          <w:tcPr>
            <w:tcW w:w="1337" w:type="dxa"/>
            <w:shd w:val="clear" w:color="auto" w:fill="auto"/>
          </w:tcPr>
          <w:p w:rsidR="00B6777E" w:rsidRPr="00011E25" w:rsidRDefault="00FD0E1C" w:rsidP="00FD0E1C">
            <w:pPr>
              <w:pStyle w:val="Heading2"/>
              <w:keepNext w:val="0"/>
              <w:spacing w:before="60"/>
              <w:rPr>
                <w:b w:val="0"/>
                <w:iCs w:val="0"/>
                <w:szCs w:val="22"/>
              </w:rPr>
            </w:pPr>
            <w:r w:rsidRPr="00011E25">
              <w:rPr>
                <w:b w:val="0"/>
                <w:iCs w:val="0"/>
                <w:szCs w:val="22"/>
              </w:rPr>
              <w:lastRenderedPageBreak/>
              <w:t>Cameron Morley</w:t>
            </w:r>
          </w:p>
        </w:tc>
      </w:tr>
      <w:tr w:rsidR="00011E25" w:rsidRPr="00011E25" w:rsidTr="00347DF7">
        <w:tc>
          <w:tcPr>
            <w:tcW w:w="550" w:type="dxa"/>
            <w:shd w:val="clear" w:color="auto" w:fill="auto"/>
          </w:tcPr>
          <w:p w:rsidR="006F619A" w:rsidRPr="00011E25" w:rsidRDefault="006F619A" w:rsidP="0073130A">
            <w:pPr>
              <w:pStyle w:val="Heading2"/>
              <w:keepNext w:val="0"/>
              <w:spacing w:before="60"/>
              <w:rPr>
                <w:iCs w:val="0"/>
                <w:sz w:val="24"/>
              </w:rPr>
            </w:pPr>
          </w:p>
        </w:tc>
        <w:tc>
          <w:tcPr>
            <w:tcW w:w="6409" w:type="dxa"/>
            <w:shd w:val="clear" w:color="auto" w:fill="auto"/>
          </w:tcPr>
          <w:p w:rsidR="006F619A" w:rsidRPr="00011E25" w:rsidRDefault="006F619A" w:rsidP="0073130A">
            <w:pPr>
              <w:pStyle w:val="Heading2"/>
              <w:keepNext w:val="0"/>
              <w:spacing w:before="60"/>
              <w:rPr>
                <w:iCs w:val="0"/>
                <w:sz w:val="24"/>
              </w:rPr>
            </w:pPr>
          </w:p>
        </w:tc>
        <w:tc>
          <w:tcPr>
            <w:tcW w:w="1337" w:type="dxa"/>
            <w:shd w:val="clear" w:color="auto" w:fill="auto"/>
          </w:tcPr>
          <w:p w:rsidR="006F619A" w:rsidRPr="00011E25" w:rsidRDefault="006F619A" w:rsidP="0073130A">
            <w:pPr>
              <w:pStyle w:val="Heading2"/>
              <w:keepNext w:val="0"/>
              <w:spacing w:before="60"/>
              <w:rPr>
                <w:iCs w:val="0"/>
                <w:sz w:val="24"/>
              </w:rPr>
            </w:pPr>
          </w:p>
        </w:tc>
      </w:tr>
      <w:tr w:rsidR="00011E25" w:rsidRPr="00011E25" w:rsidTr="00347DF7">
        <w:tc>
          <w:tcPr>
            <w:tcW w:w="550" w:type="dxa"/>
            <w:shd w:val="clear" w:color="auto" w:fill="auto"/>
          </w:tcPr>
          <w:p w:rsidR="005D6942" w:rsidRPr="00011E25" w:rsidRDefault="006F4A98" w:rsidP="006F4A98">
            <w:pPr>
              <w:pStyle w:val="Heading2"/>
              <w:keepNext w:val="0"/>
              <w:spacing w:before="60"/>
              <w:rPr>
                <w:iCs w:val="0"/>
                <w:szCs w:val="22"/>
              </w:rPr>
            </w:pPr>
            <w:r w:rsidRPr="00011E25">
              <w:rPr>
                <w:iCs w:val="0"/>
                <w:szCs w:val="22"/>
              </w:rPr>
              <w:t>3.2</w:t>
            </w:r>
          </w:p>
        </w:tc>
        <w:tc>
          <w:tcPr>
            <w:tcW w:w="6409" w:type="dxa"/>
            <w:shd w:val="clear" w:color="auto" w:fill="auto"/>
          </w:tcPr>
          <w:p w:rsidR="00901C0F" w:rsidRPr="00011E25" w:rsidRDefault="000632DA" w:rsidP="00901C0F">
            <w:pPr>
              <w:pStyle w:val="Heading2"/>
            </w:pPr>
            <w:r w:rsidRPr="00011E25">
              <w:t>Indigenous Services Strategy: Scoping</w:t>
            </w:r>
            <w:r w:rsidR="00901C0F" w:rsidRPr="00011E25">
              <w:br/>
            </w:r>
            <w:r w:rsidR="00901C0F" w:rsidRPr="00011E25">
              <w:rPr>
                <w:b w:val="0"/>
              </w:rPr>
              <w:t xml:space="preserve">Kirsten Thorpe presented the Indigenous Services Strategy scoping document and invited feedback </w:t>
            </w:r>
            <w:r w:rsidR="005A25C2" w:rsidRPr="00011E25">
              <w:rPr>
                <w:b w:val="0"/>
              </w:rPr>
              <w:t>from the Committee.</w:t>
            </w:r>
            <w:r w:rsidR="00901C0F" w:rsidRPr="00011E25">
              <w:t xml:space="preserve"> </w:t>
            </w:r>
          </w:p>
          <w:p w:rsidR="00901C0F" w:rsidRPr="00011E25" w:rsidRDefault="00901C0F" w:rsidP="00901C0F">
            <w:pPr>
              <w:pStyle w:val="Heading2"/>
            </w:pPr>
            <w:r w:rsidRPr="00011E25">
              <w:t>Background</w:t>
            </w:r>
          </w:p>
          <w:p w:rsidR="00901C0F" w:rsidRPr="00011E25" w:rsidRDefault="00901C0F" w:rsidP="00901C0F">
            <w:pPr>
              <w:rPr>
                <w:rFonts w:cs="Arial"/>
              </w:rPr>
            </w:pPr>
            <w:r w:rsidRPr="00011E25">
              <w:rPr>
                <w:noProof/>
              </w:rPr>
              <w:t xml:space="preserve">A report </w:t>
            </w:r>
            <w:r w:rsidR="005A25C2" w:rsidRPr="00011E25">
              <w:rPr>
                <w:noProof/>
              </w:rPr>
              <w:t xml:space="preserve">of the </w:t>
            </w:r>
            <w:r w:rsidR="005A25C2" w:rsidRPr="00011E25">
              <w:t xml:space="preserve">2015 survey of </w:t>
            </w:r>
            <w:r w:rsidR="005A25C2" w:rsidRPr="00011E25">
              <w:rPr>
                <w:i/>
              </w:rPr>
              <w:t>Indigenous Services in NSW Public Libraries</w:t>
            </w:r>
            <w:r w:rsidR="005A25C2" w:rsidRPr="00011E25">
              <w:rPr>
                <w:noProof/>
              </w:rPr>
              <w:t xml:space="preserve"> </w:t>
            </w:r>
            <w:r w:rsidRPr="00011E25">
              <w:rPr>
                <w:noProof/>
              </w:rPr>
              <w:t>was provided to the September PLCC meeting</w:t>
            </w:r>
            <w:r w:rsidR="005A25C2" w:rsidRPr="00011E25">
              <w:rPr>
                <w:noProof/>
              </w:rPr>
              <w:t xml:space="preserve">. </w:t>
            </w:r>
            <w:r w:rsidRPr="00011E25">
              <w:rPr>
                <w:noProof/>
              </w:rPr>
              <w:t xml:space="preserve">The results of the survey outlined a need for </w:t>
            </w:r>
            <w:r w:rsidRPr="00011E25">
              <w:rPr>
                <w:rFonts w:cs="Arial"/>
              </w:rPr>
              <w:t xml:space="preserve">more concentrated work to develop support for Indigenous Services across the NSW Public Library network.  </w:t>
            </w:r>
          </w:p>
          <w:p w:rsidR="00901C0F" w:rsidRPr="00011E25" w:rsidRDefault="00901C0F" w:rsidP="00901C0F">
            <w:pPr>
              <w:ind w:right="46"/>
              <w:rPr>
                <w:rFonts w:cs="Arial"/>
              </w:rPr>
            </w:pPr>
          </w:p>
          <w:p w:rsidR="00901C0F" w:rsidRPr="00011E25" w:rsidRDefault="001D7702" w:rsidP="00901C0F">
            <w:pPr>
              <w:ind w:right="46"/>
              <w:rPr>
                <w:rFonts w:cs="Arial"/>
              </w:rPr>
            </w:pPr>
            <w:r w:rsidRPr="00011E25">
              <w:rPr>
                <w:rFonts w:cs="Arial"/>
              </w:rPr>
              <w:t xml:space="preserve">The draft </w:t>
            </w:r>
            <w:r w:rsidR="002053AE" w:rsidRPr="00011E25">
              <w:rPr>
                <w:rFonts w:cs="Arial"/>
              </w:rPr>
              <w:t>Indigenous Services Strategy for Public Libraries</w:t>
            </w:r>
            <w:r w:rsidRPr="00011E25">
              <w:rPr>
                <w:rFonts w:cs="Arial"/>
              </w:rPr>
              <w:t xml:space="preserve">, entitled </w:t>
            </w:r>
            <w:r w:rsidR="002053AE" w:rsidRPr="00011E25">
              <w:rPr>
                <w:rFonts w:cs="Arial"/>
                <w:i/>
              </w:rPr>
              <w:t xml:space="preserve">Indigenous spaces in library places: building a vibrant Public Library network inclusive of Indigenous people and communities </w:t>
            </w:r>
            <w:r w:rsidR="002053AE" w:rsidRPr="00011E25">
              <w:rPr>
                <w:rFonts w:cs="Arial"/>
              </w:rPr>
              <w:t xml:space="preserve">is an aspirational plan that aims to generate interest and build support for Indigenous Services across the network with a </w:t>
            </w:r>
            <w:r w:rsidR="00901C0F" w:rsidRPr="00011E25">
              <w:rPr>
                <w:rFonts w:cs="Arial"/>
              </w:rPr>
              <w:t xml:space="preserve">focus </w:t>
            </w:r>
            <w:r w:rsidRPr="00011E25">
              <w:rPr>
                <w:rFonts w:cs="Arial"/>
              </w:rPr>
              <w:t xml:space="preserve">on the following </w:t>
            </w:r>
            <w:r w:rsidR="00901C0F" w:rsidRPr="00011E25">
              <w:rPr>
                <w:rFonts w:cs="Arial"/>
              </w:rPr>
              <w:t>areas for development:</w:t>
            </w:r>
          </w:p>
          <w:p w:rsidR="005A25C2" w:rsidRPr="00011E25" w:rsidRDefault="005A25C2" w:rsidP="00901C0F">
            <w:pPr>
              <w:ind w:right="46"/>
              <w:rPr>
                <w:rFonts w:cs="Arial"/>
              </w:rPr>
            </w:pPr>
          </w:p>
          <w:p w:rsidR="0065194A" w:rsidRPr="00011E25" w:rsidRDefault="0065194A" w:rsidP="00FA25DB">
            <w:pPr>
              <w:ind w:right="46"/>
              <w:rPr>
                <w:rFonts w:cs="Arial"/>
              </w:rPr>
            </w:pPr>
            <w:r w:rsidRPr="00011E25">
              <w:rPr>
                <w:rFonts w:cs="Arial"/>
              </w:rPr>
              <w:t>Welcome: Create welcoming and trusted environments for Indigenous people in library spaces</w:t>
            </w:r>
            <w:r w:rsidR="00FB2CD1" w:rsidRPr="00011E25">
              <w:rPr>
                <w:rFonts w:cs="Arial"/>
              </w:rPr>
              <w:t>.</w:t>
            </w:r>
            <w:r w:rsidRPr="00011E25">
              <w:rPr>
                <w:rFonts w:cs="Arial"/>
              </w:rPr>
              <w:t xml:space="preserve"> </w:t>
            </w:r>
          </w:p>
          <w:p w:rsidR="005A25C2" w:rsidRPr="00011E25" w:rsidRDefault="005A25C2" w:rsidP="00FA25DB">
            <w:pPr>
              <w:ind w:right="46"/>
              <w:rPr>
                <w:rFonts w:cs="Arial"/>
              </w:rPr>
            </w:pPr>
          </w:p>
          <w:p w:rsidR="0065194A" w:rsidRPr="00011E25" w:rsidRDefault="0065194A" w:rsidP="00FA25DB">
            <w:pPr>
              <w:ind w:right="46"/>
              <w:rPr>
                <w:rFonts w:cs="Arial"/>
              </w:rPr>
            </w:pPr>
            <w:r w:rsidRPr="00011E25">
              <w:rPr>
                <w:rFonts w:cs="Arial"/>
              </w:rPr>
              <w:t>Support: Encourage the Public Library network to support, share and engage with Indigenous peoples in their local area</w:t>
            </w:r>
            <w:r w:rsidR="00FB2CD1" w:rsidRPr="00011E25">
              <w:rPr>
                <w:rFonts w:cs="Arial"/>
              </w:rPr>
              <w:t>.</w:t>
            </w:r>
            <w:r w:rsidRPr="00011E25">
              <w:rPr>
                <w:rFonts w:cs="Arial"/>
              </w:rPr>
              <w:t xml:space="preserve"> </w:t>
            </w:r>
          </w:p>
          <w:p w:rsidR="0065194A" w:rsidRPr="00011E25" w:rsidRDefault="0065194A" w:rsidP="00FA25DB">
            <w:pPr>
              <w:ind w:right="46"/>
              <w:rPr>
                <w:rFonts w:cs="Arial"/>
              </w:rPr>
            </w:pPr>
          </w:p>
          <w:p w:rsidR="0065194A" w:rsidRPr="00011E25" w:rsidRDefault="0065194A" w:rsidP="00FA25DB">
            <w:pPr>
              <w:ind w:right="46"/>
              <w:rPr>
                <w:rFonts w:cs="Arial"/>
              </w:rPr>
            </w:pPr>
            <w:r w:rsidRPr="00011E25">
              <w:rPr>
                <w:rFonts w:cs="Arial"/>
              </w:rPr>
              <w:t>Share: Share stories and build knowledge of local Indigenous history and culture</w:t>
            </w:r>
            <w:r w:rsidR="00FB2CD1" w:rsidRPr="00011E25">
              <w:rPr>
                <w:rFonts w:cs="Arial"/>
              </w:rPr>
              <w:t>.</w:t>
            </w:r>
            <w:r w:rsidRPr="00011E25">
              <w:rPr>
                <w:rFonts w:cs="Arial"/>
              </w:rPr>
              <w:t xml:space="preserve"> </w:t>
            </w:r>
          </w:p>
          <w:p w:rsidR="0065194A" w:rsidRPr="00011E25" w:rsidRDefault="0065194A" w:rsidP="00FA25DB">
            <w:pPr>
              <w:ind w:right="46"/>
              <w:rPr>
                <w:rFonts w:cs="Arial"/>
              </w:rPr>
            </w:pPr>
          </w:p>
          <w:p w:rsidR="0065194A" w:rsidRPr="00011E25" w:rsidRDefault="00B7457B" w:rsidP="00FA25DB">
            <w:pPr>
              <w:ind w:right="46"/>
              <w:rPr>
                <w:rFonts w:cs="Arial"/>
              </w:rPr>
            </w:pPr>
            <w:r w:rsidRPr="00011E25">
              <w:rPr>
                <w:rFonts w:cs="Arial"/>
              </w:rPr>
              <w:t>I</w:t>
            </w:r>
            <w:r w:rsidR="0065194A" w:rsidRPr="00011E25">
              <w:rPr>
                <w:rFonts w:cs="Arial"/>
              </w:rPr>
              <w:t>nclude: Develop strategies to include and support Indigenous Australian employment across the Public Libraries network</w:t>
            </w:r>
            <w:r w:rsidR="00FB2CD1" w:rsidRPr="00011E25">
              <w:rPr>
                <w:rFonts w:cs="Arial"/>
              </w:rPr>
              <w:t>.</w:t>
            </w:r>
          </w:p>
          <w:p w:rsidR="0065194A" w:rsidRPr="00011E25" w:rsidRDefault="0065194A" w:rsidP="00FA25DB">
            <w:pPr>
              <w:ind w:right="46"/>
              <w:rPr>
                <w:rFonts w:cs="Arial"/>
              </w:rPr>
            </w:pPr>
          </w:p>
          <w:p w:rsidR="0065194A" w:rsidRPr="00011E25" w:rsidRDefault="0065194A" w:rsidP="00FA25DB">
            <w:pPr>
              <w:ind w:right="46"/>
              <w:rPr>
                <w:rFonts w:cs="Arial"/>
              </w:rPr>
            </w:pPr>
            <w:r w:rsidRPr="00011E25">
              <w:rPr>
                <w:rFonts w:cs="Arial"/>
              </w:rPr>
              <w:t>Build: Build vibrant collections and services that are shaped by Indigenous needs and aspirations</w:t>
            </w:r>
            <w:r w:rsidR="00FB2CD1" w:rsidRPr="00011E25">
              <w:rPr>
                <w:rFonts w:cs="Arial"/>
              </w:rPr>
              <w:t>.</w:t>
            </w:r>
            <w:r w:rsidRPr="00011E25">
              <w:rPr>
                <w:rFonts w:cs="Arial"/>
              </w:rPr>
              <w:t xml:space="preserve"> </w:t>
            </w:r>
          </w:p>
          <w:p w:rsidR="0065194A" w:rsidRPr="00011E25" w:rsidRDefault="0065194A" w:rsidP="00FA25DB">
            <w:pPr>
              <w:ind w:right="46"/>
              <w:rPr>
                <w:rFonts w:cs="Arial"/>
              </w:rPr>
            </w:pPr>
          </w:p>
          <w:p w:rsidR="0065194A" w:rsidRPr="00011E25" w:rsidRDefault="00B7457B" w:rsidP="00FA25DB">
            <w:pPr>
              <w:ind w:right="46"/>
              <w:rPr>
                <w:rFonts w:cs="Arial"/>
              </w:rPr>
            </w:pPr>
            <w:r w:rsidRPr="00011E25">
              <w:rPr>
                <w:rFonts w:cs="Arial"/>
              </w:rPr>
              <w:t>C</w:t>
            </w:r>
            <w:r w:rsidR="0065194A" w:rsidRPr="00011E25">
              <w:rPr>
                <w:rFonts w:cs="Arial"/>
              </w:rPr>
              <w:t>ollaborate: Inspire collaborative relationships among the Public Library network to share information on Indigenous Services</w:t>
            </w:r>
            <w:r w:rsidR="00FB2CD1" w:rsidRPr="00011E25">
              <w:rPr>
                <w:rFonts w:cs="Arial"/>
              </w:rPr>
              <w:t>.</w:t>
            </w:r>
            <w:r w:rsidR="0065194A" w:rsidRPr="00011E25">
              <w:rPr>
                <w:rFonts w:cs="Arial"/>
              </w:rPr>
              <w:t xml:space="preserve"> </w:t>
            </w:r>
          </w:p>
          <w:p w:rsidR="0065194A" w:rsidRPr="00011E25" w:rsidRDefault="0065194A" w:rsidP="00FA25DB">
            <w:pPr>
              <w:ind w:right="46"/>
              <w:rPr>
                <w:rFonts w:cs="Arial"/>
              </w:rPr>
            </w:pPr>
          </w:p>
          <w:p w:rsidR="00901C0F" w:rsidRPr="00011E25" w:rsidRDefault="0065194A" w:rsidP="00FA25DB">
            <w:pPr>
              <w:ind w:right="46"/>
              <w:rPr>
                <w:rFonts w:cs="Arial"/>
              </w:rPr>
            </w:pPr>
            <w:r w:rsidRPr="00011E25">
              <w:rPr>
                <w:rFonts w:cs="Arial"/>
              </w:rPr>
              <w:t>Reach: Build the profile of the NSW Public Library network in relation to Indigenous Services</w:t>
            </w:r>
            <w:r w:rsidR="00FB2CD1" w:rsidRPr="00011E25">
              <w:rPr>
                <w:rFonts w:cs="Arial"/>
              </w:rPr>
              <w:t>.</w:t>
            </w:r>
          </w:p>
          <w:p w:rsidR="00FA25DB" w:rsidRPr="00011E25" w:rsidRDefault="00FA25DB" w:rsidP="00FA25DB">
            <w:pPr>
              <w:pStyle w:val="Heading2"/>
            </w:pPr>
            <w:r w:rsidRPr="00011E25">
              <w:t>Plan of Action</w:t>
            </w:r>
          </w:p>
          <w:p w:rsidR="00FA25DB" w:rsidRPr="00011E25" w:rsidRDefault="00FA25DB" w:rsidP="00FA25DB">
            <w:pPr>
              <w:ind w:right="46"/>
              <w:rPr>
                <w:noProof/>
              </w:rPr>
            </w:pPr>
            <w:r w:rsidRPr="00011E25">
              <w:rPr>
                <w:noProof/>
              </w:rPr>
              <w:t xml:space="preserve">It is intended that a 5 year strategy will be developed by </w:t>
            </w:r>
            <w:r w:rsidR="00B873D5" w:rsidRPr="00011E25">
              <w:rPr>
                <w:noProof/>
              </w:rPr>
              <w:t xml:space="preserve">Indigenous Services, State Library in consultation with </w:t>
            </w:r>
            <w:r w:rsidRPr="00011E25">
              <w:rPr>
                <w:noProof/>
              </w:rPr>
              <w:t xml:space="preserve">public </w:t>
            </w:r>
            <w:r w:rsidRPr="00011E25">
              <w:rPr>
                <w:noProof/>
              </w:rPr>
              <w:lastRenderedPageBreak/>
              <w:t xml:space="preserve">libraries. The strategy will support and assist public libraries in creating services for the local Indigenous population. </w:t>
            </w:r>
            <w:r w:rsidR="00B873D5" w:rsidRPr="00011E25">
              <w:rPr>
                <w:noProof/>
              </w:rPr>
              <w:t xml:space="preserve">The draft </w:t>
            </w:r>
            <w:r w:rsidRPr="00011E25">
              <w:rPr>
                <w:noProof/>
              </w:rPr>
              <w:t xml:space="preserve">Strategy Plan is provided as an attachment to this document.  </w:t>
            </w:r>
          </w:p>
          <w:p w:rsidR="000632DA" w:rsidRPr="00011E25" w:rsidRDefault="000632DA" w:rsidP="000632DA"/>
          <w:p w:rsidR="004B038A" w:rsidRPr="00011E25" w:rsidRDefault="004B038A" w:rsidP="000632DA">
            <w:pPr>
              <w:rPr>
                <w:rFonts w:cs="Arial"/>
              </w:rPr>
            </w:pPr>
            <w:r w:rsidRPr="00011E25">
              <w:t xml:space="preserve">The Committee </w:t>
            </w:r>
            <w:r w:rsidR="000D18FB" w:rsidRPr="00011E25">
              <w:t>discussed the scoping strategy and provided comments in relation to:</w:t>
            </w:r>
            <w:r w:rsidR="002678E4" w:rsidRPr="00011E25">
              <w:rPr>
                <w:rFonts w:cs="Arial"/>
              </w:rPr>
              <w:t xml:space="preserve"> </w:t>
            </w:r>
          </w:p>
          <w:p w:rsidR="002678E4" w:rsidRPr="00011E25" w:rsidRDefault="000D18FB" w:rsidP="002678E4">
            <w:pPr>
              <w:pStyle w:val="ListParagraph"/>
              <w:numPr>
                <w:ilvl w:val="0"/>
                <w:numId w:val="33"/>
              </w:numPr>
              <w:rPr>
                <w:sz w:val="22"/>
                <w:szCs w:val="22"/>
              </w:rPr>
            </w:pPr>
            <w:r w:rsidRPr="00011E25">
              <w:rPr>
                <w:sz w:val="22"/>
                <w:szCs w:val="22"/>
              </w:rPr>
              <w:t xml:space="preserve">needs analysis (from a library service perspective) </w:t>
            </w:r>
          </w:p>
          <w:p w:rsidR="000D3558" w:rsidRPr="00011E25" w:rsidRDefault="000D3558" w:rsidP="002678E4">
            <w:pPr>
              <w:pStyle w:val="ListParagraph"/>
              <w:numPr>
                <w:ilvl w:val="0"/>
                <w:numId w:val="33"/>
              </w:numPr>
              <w:rPr>
                <w:sz w:val="22"/>
                <w:szCs w:val="22"/>
              </w:rPr>
            </w:pPr>
            <w:r w:rsidRPr="00011E25">
              <w:rPr>
                <w:sz w:val="22"/>
                <w:szCs w:val="22"/>
              </w:rPr>
              <w:t xml:space="preserve">public libraries utilising existing </w:t>
            </w:r>
            <w:r w:rsidR="000D18FB" w:rsidRPr="00011E25">
              <w:rPr>
                <w:sz w:val="22"/>
                <w:szCs w:val="22"/>
              </w:rPr>
              <w:t>reporting</w:t>
            </w:r>
            <w:r w:rsidRPr="00011E25">
              <w:rPr>
                <w:sz w:val="22"/>
                <w:szCs w:val="22"/>
              </w:rPr>
              <w:t xml:space="preserve"> mechanisms</w:t>
            </w:r>
          </w:p>
          <w:p w:rsidR="000D18FB" w:rsidRPr="00011E25" w:rsidRDefault="00622EF0" w:rsidP="002678E4">
            <w:pPr>
              <w:pStyle w:val="ListParagraph"/>
              <w:numPr>
                <w:ilvl w:val="0"/>
                <w:numId w:val="33"/>
              </w:numPr>
              <w:rPr>
                <w:sz w:val="22"/>
                <w:szCs w:val="22"/>
              </w:rPr>
            </w:pPr>
            <w:r w:rsidRPr="00011E25">
              <w:rPr>
                <w:sz w:val="22"/>
                <w:szCs w:val="22"/>
              </w:rPr>
              <w:t xml:space="preserve">promotion  </w:t>
            </w:r>
          </w:p>
          <w:p w:rsidR="00622EF0" w:rsidRPr="00011E25" w:rsidRDefault="00622EF0" w:rsidP="0096320B">
            <w:pPr>
              <w:pStyle w:val="ListParagraph"/>
              <w:numPr>
                <w:ilvl w:val="0"/>
                <w:numId w:val="33"/>
              </w:numPr>
              <w:rPr>
                <w:sz w:val="22"/>
                <w:szCs w:val="22"/>
              </w:rPr>
            </w:pPr>
            <w:r w:rsidRPr="00011E25">
              <w:rPr>
                <w:sz w:val="22"/>
                <w:szCs w:val="22"/>
              </w:rPr>
              <w:t>partnerships with existing local organisations</w:t>
            </w:r>
            <w:r w:rsidR="00C249DF" w:rsidRPr="00011E25">
              <w:rPr>
                <w:sz w:val="22"/>
                <w:szCs w:val="22"/>
              </w:rPr>
              <w:t xml:space="preserve"> and local government Indigenous representatives</w:t>
            </w:r>
          </w:p>
          <w:p w:rsidR="00DA39B3" w:rsidRPr="00011E25" w:rsidRDefault="00DA39B3" w:rsidP="00DA39B3">
            <w:pPr>
              <w:pStyle w:val="Heading2"/>
              <w:rPr>
                <w:szCs w:val="22"/>
              </w:rPr>
            </w:pPr>
            <w:r w:rsidRPr="00011E25">
              <w:rPr>
                <w:szCs w:val="22"/>
              </w:rPr>
              <w:t>Recommendation</w:t>
            </w:r>
          </w:p>
          <w:p w:rsidR="000632DA" w:rsidRPr="00011E25" w:rsidRDefault="00DA39B3" w:rsidP="00DA39B3">
            <w:r w:rsidRPr="00011E25">
              <w:rPr>
                <w:rFonts w:cs="Arial"/>
                <w:szCs w:val="22"/>
              </w:rPr>
              <w:t xml:space="preserve">The Public Libraries Consultative Committee NOTED the </w:t>
            </w:r>
            <w:r w:rsidR="004B038A" w:rsidRPr="00011E25">
              <w:rPr>
                <w:rFonts w:cs="Arial"/>
              </w:rPr>
              <w:t>Indigenous Services Strategy scoping document for public libraries</w:t>
            </w:r>
            <w:r w:rsidR="00622EF0" w:rsidRPr="00011E25">
              <w:rPr>
                <w:rFonts w:cs="Arial"/>
              </w:rPr>
              <w:t xml:space="preserve"> and endorsed further development </w:t>
            </w:r>
            <w:r w:rsidR="005A25C2" w:rsidRPr="00011E25">
              <w:rPr>
                <w:rFonts w:cs="Arial"/>
              </w:rPr>
              <w:t xml:space="preserve">in consultation with </w:t>
            </w:r>
            <w:r w:rsidR="00622EF0" w:rsidRPr="00011E25">
              <w:rPr>
                <w:rFonts w:cs="Arial"/>
              </w:rPr>
              <w:t xml:space="preserve">public libraries. </w:t>
            </w:r>
            <w:r w:rsidR="004B038A" w:rsidRPr="00011E25">
              <w:rPr>
                <w:rFonts w:cs="Arial"/>
              </w:rPr>
              <w:t xml:space="preserve"> </w:t>
            </w:r>
          </w:p>
          <w:p w:rsidR="000632DA" w:rsidRPr="00011E25" w:rsidRDefault="000632DA" w:rsidP="000632DA"/>
        </w:tc>
        <w:tc>
          <w:tcPr>
            <w:tcW w:w="1337" w:type="dxa"/>
            <w:shd w:val="clear" w:color="auto" w:fill="auto"/>
          </w:tcPr>
          <w:p w:rsidR="007F3799" w:rsidRPr="00011E25" w:rsidRDefault="007F3799" w:rsidP="0073130A">
            <w:pPr>
              <w:rPr>
                <w:rFonts w:cs="Arial"/>
              </w:rPr>
            </w:pPr>
          </w:p>
          <w:p w:rsidR="000E2DF9" w:rsidRPr="00011E25" w:rsidRDefault="006F4A98" w:rsidP="0073130A">
            <w:pPr>
              <w:rPr>
                <w:szCs w:val="22"/>
              </w:rPr>
            </w:pPr>
            <w:r w:rsidRPr="00011E25">
              <w:rPr>
                <w:szCs w:val="22"/>
              </w:rPr>
              <w:t>Kirsten Thorpe</w:t>
            </w: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szCs w:val="22"/>
              </w:rPr>
            </w:pPr>
          </w:p>
          <w:p w:rsidR="000E2DF9" w:rsidRPr="00011E25" w:rsidRDefault="000E2DF9" w:rsidP="0073130A">
            <w:pPr>
              <w:rPr>
                <w:rFonts w:cs="Arial"/>
              </w:rPr>
            </w:pPr>
          </w:p>
          <w:p w:rsidR="007F3799" w:rsidRPr="00011E25" w:rsidRDefault="007F3799" w:rsidP="0073130A">
            <w:pPr>
              <w:rPr>
                <w:rFonts w:cs="Arial"/>
              </w:rPr>
            </w:pPr>
          </w:p>
          <w:p w:rsidR="007F3799" w:rsidRPr="00011E25" w:rsidRDefault="007F3799" w:rsidP="0073130A">
            <w:pPr>
              <w:rPr>
                <w:rFonts w:cs="Arial"/>
              </w:rPr>
            </w:pPr>
          </w:p>
          <w:p w:rsidR="007F3799" w:rsidRPr="00011E25" w:rsidRDefault="007F3799" w:rsidP="0073130A">
            <w:pPr>
              <w:rPr>
                <w:rFonts w:cs="Arial"/>
              </w:rPr>
            </w:pPr>
          </w:p>
          <w:p w:rsidR="005D6942" w:rsidRPr="00011E25" w:rsidRDefault="005D6942" w:rsidP="0073130A">
            <w:pPr>
              <w:rPr>
                <w:rFonts w:cs="Arial"/>
              </w:rPr>
            </w:pPr>
          </w:p>
        </w:tc>
      </w:tr>
      <w:tr w:rsidR="00011E25" w:rsidRPr="00011E25" w:rsidTr="00347DF7">
        <w:tc>
          <w:tcPr>
            <w:tcW w:w="550" w:type="dxa"/>
            <w:shd w:val="clear" w:color="auto" w:fill="auto"/>
          </w:tcPr>
          <w:p w:rsidR="00613486" w:rsidRPr="00011E25" w:rsidRDefault="00613486" w:rsidP="006F4A98">
            <w:pPr>
              <w:pStyle w:val="Heading2"/>
              <w:keepNext w:val="0"/>
              <w:spacing w:before="60"/>
              <w:rPr>
                <w:iCs w:val="0"/>
                <w:szCs w:val="22"/>
              </w:rPr>
            </w:pPr>
          </w:p>
        </w:tc>
        <w:tc>
          <w:tcPr>
            <w:tcW w:w="6409" w:type="dxa"/>
            <w:shd w:val="clear" w:color="auto" w:fill="auto"/>
          </w:tcPr>
          <w:p w:rsidR="00613486" w:rsidRPr="00011E25" w:rsidRDefault="00613486" w:rsidP="00901C0F">
            <w:pPr>
              <w:pStyle w:val="Heading2"/>
            </w:pPr>
          </w:p>
        </w:tc>
        <w:tc>
          <w:tcPr>
            <w:tcW w:w="1337" w:type="dxa"/>
            <w:shd w:val="clear" w:color="auto" w:fill="auto"/>
          </w:tcPr>
          <w:p w:rsidR="00613486" w:rsidRPr="00011E25" w:rsidRDefault="00613486" w:rsidP="0073130A">
            <w:pPr>
              <w:rPr>
                <w:rFonts w:cs="Arial"/>
              </w:rPr>
            </w:pPr>
          </w:p>
        </w:tc>
      </w:tr>
      <w:tr w:rsidR="00011E25" w:rsidRPr="00011E25" w:rsidTr="00347DF7">
        <w:tc>
          <w:tcPr>
            <w:tcW w:w="550" w:type="dxa"/>
            <w:shd w:val="clear" w:color="auto" w:fill="auto"/>
          </w:tcPr>
          <w:p w:rsidR="00613486" w:rsidRPr="00011E25" w:rsidRDefault="00613486" w:rsidP="006F4A98">
            <w:pPr>
              <w:pStyle w:val="Heading2"/>
              <w:keepNext w:val="0"/>
              <w:spacing w:before="60"/>
              <w:rPr>
                <w:iCs w:val="0"/>
                <w:szCs w:val="22"/>
              </w:rPr>
            </w:pPr>
            <w:r w:rsidRPr="00011E25">
              <w:t>4.1</w:t>
            </w:r>
          </w:p>
        </w:tc>
        <w:tc>
          <w:tcPr>
            <w:tcW w:w="6409" w:type="dxa"/>
            <w:shd w:val="clear" w:color="auto" w:fill="auto"/>
          </w:tcPr>
          <w:p w:rsidR="00613486" w:rsidRPr="00011E25" w:rsidRDefault="00613486" w:rsidP="00613486">
            <w:pPr>
              <w:pStyle w:val="Heading2"/>
              <w:keepNext w:val="0"/>
              <w:spacing w:before="60"/>
            </w:pPr>
            <w:r w:rsidRPr="00011E25">
              <w:rPr>
                <w:iCs w:val="0"/>
                <w:szCs w:val="22"/>
              </w:rPr>
              <w:t>NSW.net progress report July to December 2015</w:t>
            </w:r>
            <w:r w:rsidRPr="00011E25">
              <w:rPr>
                <w:iCs w:val="0"/>
                <w:szCs w:val="22"/>
              </w:rPr>
              <w:br/>
            </w:r>
            <w:r w:rsidRPr="00011E25">
              <w:rPr>
                <w:b w:val="0"/>
                <w:szCs w:val="22"/>
              </w:rPr>
              <w:t xml:space="preserve">Joyce </w:t>
            </w:r>
            <w:proofErr w:type="spellStart"/>
            <w:r w:rsidRPr="00011E25">
              <w:rPr>
                <w:b w:val="0"/>
                <w:szCs w:val="22"/>
              </w:rPr>
              <w:t>Azzopardi</w:t>
            </w:r>
            <w:proofErr w:type="spellEnd"/>
            <w:r w:rsidRPr="00011E25">
              <w:rPr>
                <w:b w:val="0"/>
                <w:szCs w:val="22"/>
              </w:rPr>
              <w:t xml:space="preserve"> presented the NSW.net Service Delivery Strategy Progress Report.</w:t>
            </w:r>
          </w:p>
          <w:p w:rsidR="00613486" w:rsidRPr="00011E25" w:rsidRDefault="00613486" w:rsidP="00613486">
            <w:pPr>
              <w:pStyle w:val="Heading2"/>
            </w:pPr>
            <w:r w:rsidRPr="00011E25">
              <w:t>Background</w:t>
            </w:r>
            <w:bookmarkStart w:id="1" w:name="Text9"/>
          </w:p>
          <w:p w:rsidR="00613486" w:rsidRPr="00011E25" w:rsidRDefault="00613486" w:rsidP="00613486">
            <w:pPr>
              <w:rPr>
                <w:szCs w:val="22"/>
              </w:rPr>
            </w:pPr>
            <w:r w:rsidRPr="00011E25">
              <w:rPr>
                <w:szCs w:val="22"/>
              </w:rPr>
              <w:t xml:space="preserve">In March 2013, the Public Libraries Consultative Committee (PLCC) endorsed the NSW.net Service Delivery Strategy 2013-16.  At this meeting the PLCC requested that NSW.net provides 6 monthly reports on the progress of the Strategy. All progress reports to date have been endorsed by the Committee. </w:t>
            </w:r>
          </w:p>
          <w:bookmarkEnd w:id="1"/>
          <w:p w:rsidR="00613486" w:rsidRPr="00011E25" w:rsidRDefault="00613486" w:rsidP="00613486">
            <w:pPr>
              <w:pStyle w:val="Heading2"/>
            </w:pPr>
            <w:r w:rsidRPr="00011E25">
              <w:t>Progress to Date</w:t>
            </w:r>
          </w:p>
          <w:p w:rsidR="00613486" w:rsidRPr="00011E25" w:rsidRDefault="00613486" w:rsidP="00613486">
            <w:r w:rsidRPr="00011E25">
              <w:t>A detailed report on the progress of actions undertaken in July to December 2015 for the NSW.net Service Delivery Strategy 2013-16 was provided. Key achievements include:</w:t>
            </w:r>
          </w:p>
          <w:p w:rsidR="00613486" w:rsidRPr="00011E25" w:rsidRDefault="00613486" w:rsidP="00613486"/>
          <w:p w:rsidR="00613486" w:rsidRPr="00011E25" w:rsidRDefault="00613486" w:rsidP="00613486">
            <w:pPr>
              <w:pStyle w:val="ListParagraph"/>
              <w:numPr>
                <w:ilvl w:val="0"/>
                <w:numId w:val="34"/>
              </w:numPr>
              <w:contextualSpacing w:val="0"/>
              <w:rPr>
                <w:sz w:val="22"/>
                <w:szCs w:val="22"/>
              </w:rPr>
            </w:pPr>
            <w:r w:rsidRPr="00011E25">
              <w:rPr>
                <w:sz w:val="22"/>
                <w:szCs w:val="22"/>
              </w:rPr>
              <w:t xml:space="preserve">Completed 27 upgrades of new and existing internet services. Twenty proposals were provided to councils/libraries for network upgrades.  </w:t>
            </w:r>
          </w:p>
          <w:p w:rsidR="00613486" w:rsidRPr="00011E25" w:rsidRDefault="00613486" w:rsidP="00613486">
            <w:pPr>
              <w:pStyle w:val="ListParagraph"/>
              <w:numPr>
                <w:ilvl w:val="0"/>
                <w:numId w:val="34"/>
              </w:numPr>
              <w:contextualSpacing w:val="0"/>
              <w:rPr>
                <w:sz w:val="22"/>
                <w:szCs w:val="22"/>
              </w:rPr>
            </w:pPr>
            <w:r w:rsidRPr="00011E25">
              <w:rPr>
                <w:sz w:val="22"/>
                <w:szCs w:val="22"/>
              </w:rPr>
              <w:t>From July to October, there were 2,366,927 WiFi hotspot logins from around the state. WiFi hotspots were installed in Katoomba, Mona Vale and Avalon libraries.</w:t>
            </w:r>
          </w:p>
          <w:p w:rsidR="00613486" w:rsidRPr="00011E25" w:rsidRDefault="00613486" w:rsidP="00613486">
            <w:pPr>
              <w:pStyle w:val="ListParagraph"/>
              <w:numPr>
                <w:ilvl w:val="0"/>
                <w:numId w:val="34"/>
              </w:numPr>
              <w:contextualSpacing w:val="0"/>
              <w:rPr>
                <w:sz w:val="22"/>
                <w:szCs w:val="22"/>
              </w:rPr>
            </w:pPr>
            <w:r w:rsidRPr="00011E25">
              <w:rPr>
                <w:sz w:val="22"/>
                <w:szCs w:val="22"/>
              </w:rPr>
              <w:t xml:space="preserve">From July to October, there have been 1,563,344 full text downloads for the </w:t>
            </w:r>
            <w:proofErr w:type="spellStart"/>
            <w:r w:rsidRPr="00011E25">
              <w:rPr>
                <w:sz w:val="22"/>
                <w:szCs w:val="22"/>
              </w:rPr>
              <w:t>statewide</w:t>
            </w:r>
            <w:proofErr w:type="spellEnd"/>
            <w:r w:rsidRPr="00011E25">
              <w:rPr>
                <w:sz w:val="22"/>
                <w:szCs w:val="22"/>
              </w:rPr>
              <w:t xml:space="preserve"> suite of eResources.  </w:t>
            </w:r>
          </w:p>
          <w:p w:rsidR="00613486" w:rsidRPr="00011E25" w:rsidRDefault="00613486" w:rsidP="00613486">
            <w:pPr>
              <w:pStyle w:val="ListParagraph"/>
              <w:numPr>
                <w:ilvl w:val="0"/>
                <w:numId w:val="34"/>
              </w:numPr>
              <w:contextualSpacing w:val="0"/>
              <w:rPr>
                <w:sz w:val="22"/>
                <w:szCs w:val="22"/>
              </w:rPr>
            </w:pPr>
            <w:r w:rsidRPr="00011E25">
              <w:rPr>
                <w:sz w:val="22"/>
                <w:szCs w:val="22"/>
              </w:rPr>
              <w:t xml:space="preserve">Trials have been completed for </w:t>
            </w:r>
            <w:proofErr w:type="spellStart"/>
            <w:r w:rsidRPr="00011E25">
              <w:rPr>
                <w:sz w:val="22"/>
                <w:szCs w:val="22"/>
              </w:rPr>
              <w:t>OnePlay</w:t>
            </w:r>
            <w:proofErr w:type="spellEnd"/>
            <w:r w:rsidRPr="00011E25">
              <w:rPr>
                <w:sz w:val="22"/>
                <w:szCs w:val="22"/>
              </w:rPr>
              <w:t xml:space="preserve">, </w:t>
            </w:r>
            <w:proofErr w:type="spellStart"/>
            <w:r w:rsidRPr="00011E25">
              <w:rPr>
                <w:sz w:val="22"/>
                <w:szCs w:val="22"/>
              </w:rPr>
              <w:t>MyHeritage</w:t>
            </w:r>
            <w:proofErr w:type="spellEnd"/>
            <w:r w:rsidRPr="00011E25">
              <w:rPr>
                <w:sz w:val="22"/>
                <w:szCs w:val="22"/>
              </w:rPr>
              <w:t xml:space="preserve"> genealogy database, and </w:t>
            </w:r>
            <w:proofErr w:type="spellStart"/>
            <w:r w:rsidRPr="00011E25">
              <w:rPr>
                <w:sz w:val="22"/>
                <w:szCs w:val="22"/>
              </w:rPr>
              <w:t>TotalBoox</w:t>
            </w:r>
            <w:proofErr w:type="spellEnd"/>
            <w:r w:rsidRPr="00011E25">
              <w:rPr>
                <w:sz w:val="22"/>
                <w:szCs w:val="22"/>
              </w:rPr>
              <w:t xml:space="preserve"> eBooks.   A trial is currently underway for the 3M Cloud Library product.</w:t>
            </w:r>
          </w:p>
          <w:p w:rsidR="00613486" w:rsidRPr="00011E25" w:rsidRDefault="00613486" w:rsidP="00613486">
            <w:pPr>
              <w:pStyle w:val="ListParagraph"/>
              <w:numPr>
                <w:ilvl w:val="0"/>
                <w:numId w:val="34"/>
              </w:numPr>
              <w:contextualSpacing w:val="0"/>
              <w:rPr>
                <w:szCs w:val="22"/>
              </w:rPr>
            </w:pPr>
            <w:r w:rsidRPr="00011E25">
              <w:rPr>
                <w:sz w:val="22"/>
                <w:szCs w:val="22"/>
              </w:rPr>
              <w:t xml:space="preserve">The </w:t>
            </w:r>
            <w:proofErr w:type="spellStart"/>
            <w:r w:rsidRPr="00011E25">
              <w:rPr>
                <w:sz w:val="22"/>
                <w:szCs w:val="22"/>
              </w:rPr>
              <w:t>eLending</w:t>
            </w:r>
            <w:proofErr w:type="spellEnd"/>
            <w:r w:rsidRPr="00011E25">
              <w:rPr>
                <w:sz w:val="22"/>
                <w:szCs w:val="22"/>
              </w:rPr>
              <w:t xml:space="preserve"> Kit (</w:t>
            </w:r>
            <w:proofErr w:type="spellStart"/>
            <w:r w:rsidRPr="00011E25">
              <w:rPr>
                <w:sz w:val="22"/>
                <w:szCs w:val="22"/>
              </w:rPr>
              <w:t>eLK</w:t>
            </w:r>
            <w:proofErr w:type="spellEnd"/>
            <w:r w:rsidRPr="00011E25">
              <w:rPr>
                <w:sz w:val="22"/>
                <w:szCs w:val="22"/>
              </w:rPr>
              <w:t xml:space="preserve">) learning program has now concluded.   All kits have been returned and disposed. </w:t>
            </w:r>
          </w:p>
          <w:p w:rsidR="00613486" w:rsidRPr="00011E25" w:rsidRDefault="00613486" w:rsidP="00613486">
            <w:pPr>
              <w:pStyle w:val="ListParagraph"/>
              <w:numPr>
                <w:ilvl w:val="0"/>
                <w:numId w:val="34"/>
              </w:numPr>
              <w:contextualSpacing w:val="0"/>
              <w:rPr>
                <w:szCs w:val="22"/>
              </w:rPr>
            </w:pPr>
            <w:r w:rsidRPr="00011E25">
              <w:rPr>
                <w:sz w:val="22"/>
                <w:szCs w:val="22"/>
              </w:rPr>
              <w:t xml:space="preserve">Eight more library services are now participating in local library card access to the State Library’s eResources.   </w:t>
            </w:r>
            <w:r w:rsidRPr="00011E25">
              <w:rPr>
                <w:szCs w:val="22"/>
              </w:rPr>
              <w:t xml:space="preserve"> </w:t>
            </w:r>
          </w:p>
          <w:p w:rsidR="00613486" w:rsidRPr="00011E25" w:rsidRDefault="00613486" w:rsidP="00613486">
            <w:pPr>
              <w:rPr>
                <w:szCs w:val="22"/>
              </w:rPr>
            </w:pPr>
          </w:p>
          <w:p w:rsidR="00613486" w:rsidRPr="00011E25" w:rsidRDefault="00613486" w:rsidP="00613486">
            <w:pPr>
              <w:rPr>
                <w:szCs w:val="22"/>
              </w:rPr>
            </w:pPr>
            <w:r w:rsidRPr="00011E25">
              <w:rPr>
                <w:szCs w:val="22"/>
              </w:rPr>
              <w:t xml:space="preserve">The </w:t>
            </w:r>
            <w:proofErr w:type="spellStart"/>
            <w:r w:rsidRPr="00011E25">
              <w:rPr>
                <w:szCs w:val="22"/>
              </w:rPr>
              <w:t>eContent</w:t>
            </w:r>
            <w:proofErr w:type="spellEnd"/>
            <w:r w:rsidRPr="00011E25">
              <w:rPr>
                <w:szCs w:val="22"/>
              </w:rPr>
              <w:t xml:space="preserve"> Management Platform (LEMP) pilot project is in progress.  A server for content archival/backup was set up at the SLNSW and staff training with the pilot libraries was completed.  Over 100 Australian independent and mid list publishers were contacted to provide content for the pilot. So far, 19 of these publishers have expressed interest in providing content with content having been received from several of these publishers. It is proposed to commence the pilot in mid-December promoting it as part of the Summer Reading Club.   A launch at each pilot library will be undertaken in February/March 2016.  ‘</w:t>
            </w:r>
            <w:proofErr w:type="spellStart"/>
            <w:proofErr w:type="gramStart"/>
            <w:r w:rsidRPr="00011E25">
              <w:rPr>
                <w:szCs w:val="22"/>
              </w:rPr>
              <w:t>indyReads</w:t>
            </w:r>
            <w:proofErr w:type="spellEnd"/>
            <w:proofErr w:type="gramEnd"/>
            <w:r w:rsidRPr="00011E25">
              <w:rPr>
                <w:szCs w:val="22"/>
              </w:rPr>
              <w:t xml:space="preserve">’ has been registered as the trademark name for this initiative.    </w:t>
            </w:r>
          </w:p>
          <w:p w:rsidR="00613486" w:rsidRPr="00011E25" w:rsidRDefault="00613486" w:rsidP="00613486">
            <w:pPr>
              <w:rPr>
                <w:szCs w:val="22"/>
              </w:rPr>
            </w:pPr>
          </w:p>
          <w:p w:rsidR="00613486" w:rsidRPr="00011E25" w:rsidRDefault="00613486" w:rsidP="00613486">
            <w:pPr>
              <w:rPr>
                <w:szCs w:val="22"/>
              </w:rPr>
            </w:pPr>
            <w:r w:rsidRPr="00011E25">
              <w:rPr>
                <w:szCs w:val="22"/>
              </w:rPr>
              <w:t xml:space="preserve">This year’s subscription to the EBSCO </w:t>
            </w:r>
            <w:proofErr w:type="spellStart"/>
            <w:r w:rsidRPr="00011E25">
              <w:rPr>
                <w:szCs w:val="22"/>
              </w:rPr>
              <w:t>statewide</w:t>
            </w:r>
            <w:proofErr w:type="spellEnd"/>
            <w:r w:rsidRPr="00011E25">
              <w:rPr>
                <w:szCs w:val="22"/>
              </w:rPr>
              <w:t xml:space="preserve"> suite of eResources was adversely affected due to the exchange rate of the Australian dollar. NSW.net is currently seeking quotes from EBSCO, </w:t>
            </w:r>
            <w:proofErr w:type="spellStart"/>
            <w:r w:rsidRPr="00011E25">
              <w:rPr>
                <w:szCs w:val="22"/>
              </w:rPr>
              <w:t>ProQuest</w:t>
            </w:r>
            <w:proofErr w:type="spellEnd"/>
            <w:r w:rsidRPr="00011E25">
              <w:rPr>
                <w:szCs w:val="22"/>
              </w:rPr>
              <w:t xml:space="preserve">, Gale and InfoBase for a comparable suite of </w:t>
            </w:r>
            <w:proofErr w:type="spellStart"/>
            <w:r w:rsidRPr="00011E25">
              <w:rPr>
                <w:szCs w:val="22"/>
              </w:rPr>
              <w:t>eResource</w:t>
            </w:r>
            <w:proofErr w:type="spellEnd"/>
            <w:r w:rsidRPr="00011E25">
              <w:rPr>
                <w:szCs w:val="22"/>
              </w:rPr>
              <w:t xml:space="preserve"> products for the 2016/17 </w:t>
            </w:r>
            <w:proofErr w:type="spellStart"/>
            <w:r w:rsidRPr="00011E25">
              <w:rPr>
                <w:szCs w:val="22"/>
              </w:rPr>
              <w:t>statewide</w:t>
            </w:r>
            <w:proofErr w:type="spellEnd"/>
            <w:r w:rsidRPr="00011E25">
              <w:rPr>
                <w:szCs w:val="22"/>
              </w:rPr>
              <w:t xml:space="preserve"> subscription.  </w:t>
            </w:r>
          </w:p>
          <w:p w:rsidR="00613486" w:rsidRPr="00011E25" w:rsidRDefault="00613486" w:rsidP="00613486">
            <w:pPr>
              <w:pStyle w:val="Heading2"/>
            </w:pPr>
            <w:r w:rsidRPr="00011E25">
              <w:t>Recommendation</w:t>
            </w:r>
            <w:r w:rsidRPr="00011E25">
              <w:br/>
            </w:r>
            <w:r w:rsidRPr="00011E25">
              <w:rPr>
                <w:b w:val="0"/>
                <w:szCs w:val="22"/>
              </w:rPr>
              <w:t>The Public Libraries Consultative Committee ENDORSED the NSW.net Service Delivery Strategy 2013-16 Progress Report July to December 2015.</w:t>
            </w:r>
            <w:r w:rsidRPr="00011E25">
              <w:rPr>
                <w:szCs w:val="22"/>
              </w:rPr>
              <w:t xml:space="preserve">  </w:t>
            </w:r>
          </w:p>
        </w:tc>
        <w:tc>
          <w:tcPr>
            <w:tcW w:w="1337" w:type="dxa"/>
            <w:shd w:val="clear" w:color="auto" w:fill="auto"/>
          </w:tcPr>
          <w:p w:rsidR="00613486" w:rsidRPr="00011E25" w:rsidRDefault="00613486" w:rsidP="0073130A">
            <w:pPr>
              <w:rPr>
                <w:rFonts w:cs="Arial"/>
              </w:rPr>
            </w:pPr>
            <w:r w:rsidRPr="00011E25">
              <w:rPr>
                <w:rFonts w:cs="Arial"/>
              </w:rPr>
              <w:t xml:space="preserve">Joyce </w:t>
            </w:r>
            <w:proofErr w:type="spellStart"/>
            <w:r w:rsidRPr="00011E25">
              <w:rPr>
                <w:rFonts w:cs="Arial"/>
              </w:rPr>
              <w:t>Azzopardi</w:t>
            </w:r>
            <w:proofErr w:type="spellEnd"/>
          </w:p>
        </w:tc>
      </w:tr>
      <w:tr w:rsidR="00011E25" w:rsidRPr="00011E25" w:rsidTr="00347DF7">
        <w:tc>
          <w:tcPr>
            <w:tcW w:w="550" w:type="dxa"/>
            <w:shd w:val="clear" w:color="auto" w:fill="auto"/>
          </w:tcPr>
          <w:p w:rsidR="00613486" w:rsidRPr="00011E25" w:rsidRDefault="00613486" w:rsidP="006F4A98">
            <w:pPr>
              <w:pStyle w:val="Heading2"/>
              <w:keepNext w:val="0"/>
              <w:spacing w:before="60"/>
            </w:pPr>
          </w:p>
        </w:tc>
        <w:tc>
          <w:tcPr>
            <w:tcW w:w="6409" w:type="dxa"/>
            <w:shd w:val="clear" w:color="auto" w:fill="auto"/>
          </w:tcPr>
          <w:p w:rsidR="00613486" w:rsidRPr="00011E25" w:rsidRDefault="00613486" w:rsidP="00613486">
            <w:pPr>
              <w:pStyle w:val="Heading2"/>
              <w:keepNext w:val="0"/>
              <w:spacing w:before="60"/>
              <w:rPr>
                <w:iCs w:val="0"/>
                <w:szCs w:val="22"/>
              </w:rPr>
            </w:pPr>
          </w:p>
        </w:tc>
        <w:tc>
          <w:tcPr>
            <w:tcW w:w="1337" w:type="dxa"/>
            <w:shd w:val="clear" w:color="auto" w:fill="auto"/>
          </w:tcPr>
          <w:p w:rsidR="00613486" w:rsidRPr="00011E25" w:rsidRDefault="00613486" w:rsidP="0073130A">
            <w:pPr>
              <w:rPr>
                <w:rFonts w:cs="Arial"/>
              </w:rPr>
            </w:pPr>
          </w:p>
        </w:tc>
      </w:tr>
      <w:tr w:rsidR="00011E25" w:rsidRPr="00011E25" w:rsidTr="00347DF7">
        <w:tc>
          <w:tcPr>
            <w:tcW w:w="550" w:type="dxa"/>
            <w:shd w:val="clear" w:color="auto" w:fill="auto"/>
          </w:tcPr>
          <w:p w:rsidR="00613486" w:rsidRPr="00011E25" w:rsidRDefault="00613486" w:rsidP="006F4A98">
            <w:pPr>
              <w:pStyle w:val="Heading2"/>
              <w:keepNext w:val="0"/>
              <w:spacing w:before="60"/>
            </w:pPr>
            <w:r w:rsidRPr="00011E25">
              <w:t>4.2</w:t>
            </w:r>
          </w:p>
        </w:tc>
        <w:tc>
          <w:tcPr>
            <w:tcW w:w="6409" w:type="dxa"/>
            <w:shd w:val="clear" w:color="auto" w:fill="auto"/>
          </w:tcPr>
          <w:p w:rsidR="00613486" w:rsidRPr="00011E25" w:rsidRDefault="00613486" w:rsidP="00613486">
            <w:pPr>
              <w:rPr>
                <w:b/>
                <w:szCs w:val="22"/>
              </w:rPr>
            </w:pPr>
            <w:r w:rsidRPr="00011E25">
              <w:rPr>
                <w:b/>
                <w:szCs w:val="22"/>
              </w:rPr>
              <w:t>Regional Library Models: final report and guide</w:t>
            </w:r>
          </w:p>
          <w:p w:rsidR="00613486" w:rsidRPr="00011E25" w:rsidRDefault="00EE7CB3" w:rsidP="00613486">
            <w:pPr>
              <w:ind w:right="46"/>
              <w:jc w:val="both"/>
            </w:pPr>
            <w:r w:rsidRPr="00011E25">
              <w:t xml:space="preserve">Cameron Morley </w:t>
            </w:r>
            <w:r w:rsidR="00613486" w:rsidRPr="00011E25">
              <w:t>brief</w:t>
            </w:r>
            <w:r w:rsidRPr="00011E25">
              <w:t>ed</w:t>
            </w:r>
            <w:r w:rsidR="00613486" w:rsidRPr="00011E25">
              <w:t xml:space="preserve"> the Committee on the completion of the Regional Library Models research project.</w:t>
            </w:r>
          </w:p>
          <w:p w:rsidR="00613486" w:rsidRPr="00011E25" w:rsidRDefault="00613486" w:rsidP="005A25C2">
            <w:pPr>
              <w:pStyle w:val="Heading2"/>
            </w:pPr>
            <w:r w:rsidRPr="00011E25">
              <w:t>Background</w:t>
            </w:r>
          </w:p>
          <w:p w:rsidR="00613486" w:rsidRPr="00011E25" w:rsidRDefault="00613486" w:rsidP="005A25C2">
            <w:pPr>
              <w:shd w:val="clear" w:color="auto" w:fill="FFFFFF"/>
              <w:rPr>
                <w:szCs w:val="22"/>
              </w:rPr>
            </w:pPr>
            <w:r w:rsidRPr="00011E25">
              <w:rPr>
                <w:rFonts w:cs="Arial"/>
                <w:szCs w:val="22"/>
              </w:rPr>
              <w:t xml:space="preserve">The State Library initiated a project in 2013 to review regional library management models in the context of s12A of the </w:t>
            </w:r>
            <w:r w:rsidRPr="00011E25">
              <w:rPr>
                <w:rFonts w:cs="Arial"/>
                <w:i/>
                <w:szCs w:val="22"/>
              </w:rPr>
              <w:t>Library Act 1939</w:t>
            </w:r>
            <w:r w:rsidRPr="00011E25">
              <w:rPr>
                <w:rFonts w:cs="Arial"/>
                <w:szCs w:val="22"/>
              </w:rPr>
              <w:t xml:space="preserve"> and the range of alternate council arrangements considered in the </w:t>
            </w:r>
            <w:r w:rsidRPr="00011E25">
              <w:rPr>
                <w:szCs w:val="22"/>
              </w:rPr>
              <w:t>Independent Local Government Review Panel’s (ILGRP) 2013 reports.</w:t>
            </w:r>
          </w:p>
          <w:p w:rsidR="00613486" w:rsidRPr="00011E25" w:rsidRDefault="00613486" w:rsidP="005A25C2">
            <w:pPr>
              <w:shd w:val="clear" w:color="auto" w:fill="FFFFFF"/>
              <w:rPr>
                <w:rFonts w:cs="Arial"/>
                <w:szCs w:val="22"/>
              </w:rPr>
            </w:pPr>
          </w:p>
          <w:p w:rsidR="00613486" w:rsidRPr="00011E25" w:rsidRDefault="00613486" w:rsidP="00613486">
            <w:pPr>
              <w:rPr>
                <w:szCs w:val="22"/>
              </w:rPr>
            </w:pPr>
            <w:r w:rsidRPr="00011E25">
              <w:rPr>
                <w:rFonts w:cs="Arial"/>
                <w:szCs w:val="22"/>
              </w:rPr>
              <w:t xml:space="preserve">The UTS Centre for Local Government was appointed in 2014 to assist with this project, which included </w:t>
            </w:r>
            <w:r w:rsidRPr="00011E25">
              <w:rPr>
                <w:szCs w:val="22"/>
              </w:rPr>
              <w:t xml:space="preserve">research into current arrangements under the </w:t>
            </w:r>
            <w:r w:rsidRPr="00011E25">
              <w:rPr>
                <w:i/>
                <w:szCs w:val="22"/>
              </w:rPr>
              <w:t>Library Act</w:t>
            </w:r>
            <w:r w:rsidRPr="00011E25">
              <w:rPr>
                <w:szCs w:val="22"/>
              </w:rPr>
              <w:t xml:space="preserve"> (68 councils), other cooperative arrangements (formal and informal) between councils that include library services (e.g. shared library management systems, shared procurement), and other possible models of council cooperation.</w:t>
            </w:r>
          </w:p>
          <w:p w:rsidR="00613486" w:rsidRPr="00011E25" w:rsidRDefault="00613486" w:rsidP="00613486"/>
          <w:p w:rsidR="00613486" w:rsidRPr="00011E25" w:rsidRDefault="00613486" w:rsidP="00613486">
            <w:r w:rsidRPr="00011E25">
              <w:t xml:space="preserve">The survey phase took place in November 2014. All NSW public library managers were invited to participate in an online survey. Responses were received from 23 standalone libraries, 14 regional libraries, 12 cooperative libraries and 5 “other”. Therefore 54 of the 102 NSW library services responded. The range of library types and sizes among the respondents was reflective of the diversity across the state. </w:t>
            </w:r>
          </w:p>
          <w:p w:rsidR="00613486" w:rsidRPr="00011E25" w:rsidRDefault="00613486" w:rsidP="00613486"/>
          <w:p w:rsidR="00613486" w:rsidRPr="00011E25" w:rsidRDefault="00613486" w:rsidP="00613486">
            <w:pPr>
              <w:jc w:val="both"/>
              <w:rPr>
                <w:rFonts w:cs="Arial"/>
                <w:szCs w:val="22"/>
              </w:rPr>
            </w:pPr>
            <w:r w:rsidRPr="00011E25">
              <w:rPr>
                <w:rFonts w:cs="Arial"/>
                <w:szCs w:val="22"/>
              </w:rPr>
              <w:t xml:space="preserve">In addition the State Library sought copies of current regional and cooperative library agreements from all councils, including those not promulgated under the </w:t>
            </w:r>
            <w:r w:rsidRPr="00011E25">
              <w:rPr>
                <w:rFonts w:cs="Arial"/>
                <w:i/>
                <w:szCs w:val="22"/>
              </w:rPr>
              <w:t>Library Act</w:t>
            </w:r>
            <w:r w:rsidRPr="00011E25">
              <w:rPr>
                <w:rFonts w:cs="Arial"/>
                <w:szCs w:val="22"/>
              </w:rPr>
              <w:t>. A wide range of agreements were submitted, which assisted the researchers to define agreement typologies.</w:t>
            </w:r>
          </w:p>
          <w:p w:rsidR="00613486" w:rsidRPr="00011E25" w:rsidRDefault="00613486" w:rsidP="00613486">
            <w:pPr>
              <w:jc w:val="both"/>
              <w:rPr>
                <w:rFonts w:cs="Arial"/>
                <w:szCs w:val="22"/>
              </w:rPr>
            </w:pPr>
          </w:p>
          <w:p w:rsidR="00613486" w:rsidRPr="00011E25" w:rsidRDefault="00613486" w:rsidP="00613486">
            <w:pPr>
              <w:shd w:val="clear" w:color="auto" w:fill="FFFFFF"/>
            </w:pPr>
            <w:r w:rsidRPr="00011E25">
              <w:t>During 2015 the research team have interviewed a range of council and library staff, developed case studies of good practice, and drafted a suite of documents including a literature review, case study report, final report and a Guide to Collaborative Service Delivery. The latter two documents have been prepared in close consultation with the State Library of NSW.</w:t>
            </w:r>
          </w:p>
          <w:p w:rsidR="00B30800" w:rsidRPr="00011E25" w:rsidRDefault="00B30800" w:rsidP="00613486">
            <w:pPr>
              <w:shd w:val="clear" w:color="auto" w:fill="FFFFFF"/>
            </w:pPr>
          </w:p>
          <w:p w:rsidR="00B30800" w:rsidRPr="00011E25" w:rsidRDefault="00B30800" w:rsidP="00B30800">
            <w:pPr>
              <w:ind w:right="46"/>
              <w:jc w:val="both"/>
              <w:rPr>
                <w:noProof/>
              </w:rPr>
            </w:pPr>
            <w:r w:rsidRPr="00011E25">
              <w:rPr>
                <w:noProof/>
              </w:rPr>
              <w:t>The reports and Guide will be key references for the State Library and councils as new library arrangements are developed as part of the Fit for the Future implementation.</w:t>
            </w:r>
          </w:p>
          <w:p w:rsidR="00432F8E" w:rsidRPr="00011E25" w:rsidRDefault="00432F8E" w:rsidP="00B30800">
            <w:pPr>
              <w:ind w:right="46"/>
              <w:jc w:val="both"/>
              <w:rPr>
                <w:noProof/>
              </w:rPr>
            </w:pPr>
          </w:p>
          <w:p w:rsidR="00432F8E" w:rsidRPr="00011E25" w:rsidRDefault="00432F8E" w:rsidP="00432F8E">
            <w:pPr>
              <w:ind w:right="46"/>
              <w:rPr>
                <w:noProof/>
              </w:rPr>
            </w:pPr>
            <w:r w:rsidRPr="00011E25">
              <w:rPr>
                <w:noProof/>
              </w:rPr>
              <w:t xml:space="preserve">The Committee noted that the research was most timely and </w:t>
            </w:r>
            <w:r w:rsidR="00BC7494" w:rsidRPr="00011E25">
              <w:rPr>
                <w:noProof/>
              </w:rPr>
              <w:t xml:space="preserve">the suite of reports </w:t>
            </w:r>
            <w:r w:rsidRPr="00011E25">
              <w:rPr>
                <w:noProof/>
              </w:rPr>
              <w:t xml:space="preserve">provided a very useful tool kit </w:t>
            </w:r>
            <w:r w:rsidR="00BC7494" w:rsidRPr="00011E25">
              <w:rPr>
                <w:noProof/>
              </w:rPr>
              <w:t xml:space="preserve">for libraries. </w:t>
            </w:r>
          </w:p>
          <w:p w:rsidR="00613486" w:rsidRPr="00011E25" w:rsidRDefault="00613486" w:rsidP="00613486">
            <w:pPr>
              <w:pStyle w:val="Heading2"/>
            </w:pPr>
            <w:r w:rsidRPr="00011E25">
              <w:t>Plan of Action</w:t>
            </w:r>
            <w:bookmarkStart w:id="2" w:name="Text12"/>
          </w:p>
          <w:bookmarkEnd w:id="2"/>
          <w:p w:rsidR="00613486" w:rsidRPr="00011E25" w:rsidRDefault="005A25C2" w:rsidP="00613486">
            <w:pPr>
              <w:ind w:right="46"/>
              <w:jc w:val="both"/>
              <w:rPr>
                <w:noProof/>
              </w:rPr>
            </w:pPr>
            <w:r w:rsidRPr="00011E25">
              <w:rPr>
                <w:noProof/>
              </w:rPr>
              <w:t xml:space="preserve">Cameron Morley </w:t>
            </w:r>
            <w:r w:rsidR="00EB0E51" w:rsidRPr="00011E25">
              <w:rPr>
                <w:noProof/>
              </w:rPr>
              <w:t xml:space="preserve">to </w:t>
            </w:r>
            <w:r w:rsidRPr="00011E25">
              <w:rPr>
                <w:noProof/>
              </w:rPr>
              <w:t xml:space="preserve">write to </w:t>
            </w:r>
            <w:r w:rsidR="00757E7B" w:rsidRPr="00011E25">
              <w:rPr>
                <w:noProof/>
              </w:rPr>
              <w:t>local council g</w:t>
            </w:r>
            <w:r w:rsidRPr="00011E25">
              <w:rPr>
                <w:noProof/>
              </w:rPr>
              <w:t xml:space="preserve">eneral </w:t>
            </w:r>
            <w:r w:rsidR="00757E7B" w:rsidRPr="00011E25">
              <w:rPr>
                <w:noProof/>
              </w:rPr>
              <w:t xml:space="preserve">managers </w:t>
            </w:r>
            <w:r w:rsidRPr="00011E25">
              <w:rPr>
                <w:noProof/>
              </w:rPr>
              <w:t xml:space="preserve">and </w:t>
            </w:r>
            <w:r w:rsidR="00757E7B" w:rsidRPr="00011E25">
              <w:rPr>
                <w:noProof/>
              </w:rPr>
              <w:t>public l</w:t>
            </w:r>
            <w:r w:rsidRPr="00011E25">
              <w:rPr>
                <w:noProof/>
              </w:rPr>
              <w:t xml:space="preserve">ibrary </w:t>
            </w:r>
            <w:r w:rsidR="00757E7B" w:rsidRPr="00011E25">
              <w:rPr>
                <w:noProof/>
              </w:rPr>
              <w:t>m</w:t>
            </w:r>
            <w:r w:rsidRPr="00011E25">
              <w:rPr>
                <w:noProof/>
              </w:rPr>
              <w:t xml:space="preserve">anagers to inform them of the publication of the </w:t>
            </w:r>
            <w:r w:rsidR="00B30800" w:rsidRPr="00011E25">
              <w:rPr>
                <w:noProof/>
              </w:rPr>
              <w:t>suite of r</w:t>
            </w:r>
            <w:r w:rsidRPr="00011E25">
              <w:rPr>
                <w:noProof/>
              </w:rPr>
              <w:t>eport</w:t>
            </w:r>
            <w:r w:rsidR="00B30800" w:rsidRPr="00011E25">
              <w:rPr>
                <w:noProof/>
              </w:rPr>
              <w:t xml:space="preserve">s on the </w:t>
            </w:r>
            <w:r w:rsidRPr="00011E25">
              <w:rPr>
                <w:noProof/>
              </w:rPr>
              <w:t xml:space="preserve"> </w:t>
            </w:r>
            <w:r w:rsidR="00613486" w:rsidRPr="00011E25">
              <w:rPr>
                <w:noProof/>
              </w:rPr>
              <w:t xml:space="preserve">State Library </w:t>
            </w:r>
            <w:r w:rsidR="00EB0E51" w:rsidRPr="00011E25">
              <w:rPr>
                <w:noProof/>
              </w:rPr>
              <w:t>website.</w:t>
            </w:r>
          </w:p>
          <w:p w:rsidR="00613486" w:rsidRPr="00011E25" w:rsidRDefault="00613486" w:rsidP="00613486">
            <w:pPr>
              <w:pStyle w:val="Heading2"/>
            </w:pPr>
            <w:r w:rsidRPr="00011E25">
              <w:t>Recommendation</w:t>
            </w:r>
            <w:bookmarkStart w:id="3" w:name="Text13"/>
          </w:p>
          <w:bookmarkEnd w:id="3"/>
          <w:p w:rsidR="00613486" w:rsidRPr="00011E25" w:rsidRDefault="005A25C2" w:rsidP="005A25C2">
            <w:pPr>
              <w:rPr>
                <w:rFonts w:cs="Arial"/>
                <w:szCs w:val="22"/>
              </w:rPr>
            </w:pPr>
            <w:r w:rsidRPr="00011E25">
              <w:rPr>
                <w:rFonts w:cs="Arial"/>
                <w:szCs w:val="22"/>
              </w:rPr>
              <w:t xml:space="preserve">The </w:t>
            </w:r>
            <w:r w:rsidR="00613486" w:rsidRPr="00011E25">
              <w:rPr>
                <w:rFonts w:cs="Arial"/>
                <w:szCs w:val="22"/>
              </w:rPr>
              <w:t>Public Libraries Consultative Committee</w:t>
            </w:r>
            <w:r w:rsidRPr="00011E25">
              <w:rPr>
                <w:rFonts w:cs="Arial"/>
                <w:szCs w:val="22"/>
              </w:rPr>
              <w:t xml:space="preserve"> NOTED the </w:t>
            </w:r>
            <w:r w:rsidR="00613486" w:rsidRPr="00011E25">
              <w:rPr>
                <w:rFonts w:cs="Arial"/>
                <w:szCs w:val="22"/>
              </w:rPr>
              <w:t xml:space="preserve">completion of the Regional </w:t>
            </w:r>
            <w:r w:rsidR="003746E4" w:rsidRPr="00011E25">
              <w:rPr>
                <w:rFonts w:cs="Arial"/>
                <w:szCs w:val="22"/>
              </w:rPr>
              <w:t xml:space="preserve">Library Models research project and commended Cameron Morley for this outstanding work.  </w:t>
            </w:r>
          </w:p>
          <w:p w:rsidR="00613486" w:rsidRPr="00011E25" w:rsidRDefault="00613486" w:rsidP="00613486">
            <w:pPr>
              <w:pStyle w:val="Heading2"/>
              <w:keepNext w:val="0"/>
              <w:spacing w:before="60"/>
              <w:rPr>
                <w:iCs w:val="0"/>
                <w:szCs w:val="22"/>
              </w:rPr>
            </w:pPr>
          </w:p>
        </w:tc>
        <w:tc>
          <w:tcPr>
            <w:tcW w:w="1337" w:type="dxa"/>
            <w:shd w:val="clear" w:color="auto" w:fill="auto"/>
          </w:tcPr>
          <w:p w:rsidR="00613486" w:rsidRPr="00011E25" w:rsidRDefault="00613486" w:rsidP="0073130A">
            <w:pPr>
              <w:rPr>
                <w:rFonts w:cs="Arial"/>
              </w:rPr>
            </w:pPr>
            <w:r w:rsidRPr="00011E25">
              <w:rPr>
                <w:rFonts w:cs="Arial"/>
              </w:rPr>
              <w:t>Cameron Morley</w:t>
            </w:r>
          </w:p>
        </w:tc>
      </w:tr>
      <w:tr w:rsidR="00011E25" w:rsidRPr="00011E25" w:rsidTr="00347DF7">
        <w:tc>
          <w:tcPr>
            <w:tcW w:w="550" w:type="dxa"/>
            <w:shd w:val="clear" w:color="auto" w:fill="auto"/>
          </w:tcPr>
          <w:p w:rsidR="006F619A" w:rsidRPr="00011E25" w:rsidRDefault="006F619A" w:rsidP="0073130A">
            <w:pPr>
              <w:pStyle w:val="Heading2"/>
              <w:keepNext w:val="0"/>
              <w:spacing w:before="60"/>
              <w:rPr>
                <w:b w:val="0"/>
                <w:iCs w:val="0"/>
                <w:sz w:val="24"/>
              </w:rPr>
            </w:pPr>
          </w:p>
        </w:tc>
        <w:tc>
          <w:tcPr>
            <w:tcW w:w="6409" w:type="dxa"/>
            <w:shd w:val="clear" w:color="auto" w:fill="auto"/>
          </w:tcPr>
          <w:p w:rsidR="006F619A" w:rsidRPr="00011E25" w:rsidRDefault="006F619A" w:rsidP="0073130A">
            <w:pPr>
              <w:pStyle w:val="Heading2"/>
              <w:keepNext w:val="0"/>
              <w:spacing w:before="60"/>
              <w:rPr>
                <w:iCs w:val="0"/>
                <w:szCs w:val="22"/>
              </w:rPr>
            </w:pPr>
          </w:p>
        </w:tc>
        <w:tc>
          <w:tcPr>
            <w:tcW w:w="1337" w:type="dxa"/>
            <w:shd w:val="clear" w:color="auto" w:fill="auto"/>
          </w:tcPr>
          <w:p w:rsidR="006F619A" w:rsidRPr="00011E25" w:rsidRDefault="006F619A" w:rsidP="0073130A">
            <w:pPr>
              <w:rPr>
                <w:rFonts w:cs="Arial"/>
              </w:rPr>
            </w:pPr>
          </w:p>
        </w:tc>
      </w:tr>
      <w:tr w:rsidR="00011E25" w:rsidRPr="00011E25" w:rsidTr="00347DF7">
        <w:tc>
          <w:tcPr>
            <w:tcW w:w="550" w:type="dxa"/>
            <w:shd w:val="clear" w:color="auto" w:fill="auto"/>
          </w:tcPr>
          <w:p w:rsidR="005D6942" w:rsidRPr="00011E25" w:rsidRDefault="008568D1" w:rsidP="00775131">
            <w:pPr>
              <w:pStyle w:val="Heading2"/>
              <w:keepNext w:val="0"/>
              <w:spacing w:before="60"/>
              <w:rPr>
                <w:iCs w:val="0"/>
                <w:szCs w:val="22"/>
              </w:rPr>
            </w:pPr>
            <w:r w:rsidRPr="00011E25">
              <w:rPr>
                <w:iCs w:val="0"/>
                <w:szCs w:val="22"/>
              </w:rPr>
              <w:t>4.3</w:t>
            </w:r>
          </w:p>
        </w:tc>
        <w:tc>
          <w:tcPr>
            <w:tcW w:w="6409" w:type="dxa"/>
            <w:shd w:val="clear" w:color="auto" w:fill="auto"/>
          </w:tcPr>
          <w:p w:rsidR="008568D1" w:rsidRPr="00011E25" w:rsidRDefault="00E23382" w:rsidP="008568D1">
            <w:pPr>
              <w:rPr>
                <w:rFonts w:cs="Arial"/>
                <w:b/>
                <w:szCs w:val="22"/>
              </w:rPr>
            </w:pPr>
            <w:r w:rsidRPr="00011E25">
              <w:rPr>
                <w:rFonts w:cs="Arial"/>
                <w:b/>
                <w:szCs w:val="22"/>
              </w:rPr>
              <w:t xml:space="preserve">Living Learning Libraries: </w:t>
            </w:r>
            <w:r w:rsidR="008568D1" w:rsidRPr="00011E25">
              <w:rPr>
                <w:rFonts w:cs="Arial"/>
                <w:b/>
                <w:szCs w:val="22"/>
              </w:rPr>
              <w:t>Standards and Guidelines for NSW Public Libraries, 6</w:t>
            </w:r>
            <w:r w:rsidR="008568D1" w:rsidRPr="00011E25">
              <w:rPr>
                <w:rFonts w:cs="Arial"/>
                <w:b/>
                <w:szCs w:val="22"/>
                <w:vertAlign w:val="superscript"/>
              </w:rPr>
              <w:t>th</w:t>
            </w:r>
            <w:r w:rsidR="008568D1" w:rsidRPr="00011E25">
              <w:rPr>
                <w:rFonts w:cs="Arial"/>
                <w:b/>
                <w:szCs w:val="22"/>
              </w:rPr>
              <w:t xml:space="preserve"> </w:t>
            </w:r>
            <w:proofErr w:type="spellStart"/>
            <w:r w:rsidR="008568D1" w:rsidRPr="00011E25">
              <w:rPr>
                <w:rFonts w:cs="Arial"/>
                <w:b/>
                <w:szCs w:val="22"/>
              </w:rPr>
              <w:t>ed</w:t>
            </w:r>
            <w:proofErr w:type="spellEnd"/>
            <w:r w:rsidR="008568D1" w:rsidRPr="00011E25">
              <w:rPr>
                <w:rFonts w:cs="Arial"/>
                <w:b/>
                <w:szCs w:val="22"/>
              </w:rPr>
              <w:t xml:space="preserve"> </w:t>
            </w:r>
          </w:p>
          <w:p w:rsidR="008568D1" w:rsidRPr="00011E25" w:rsidRDefault="008568D1" w:rsidP="008568D1">
            <w:pPr>
              <w:rPr>
                <w:rFonts w:cs="Arial"/>
                <w:szCs w:val="22"/>
              </w:rPr>
            </w:pPr>
            <w:r w:rsidRPr="00011E25">
              <w:rPr>
                <w:rFonts w:cs="Arial"/>
                <w:szCs w:val="22"/>
              </w:rPr>
              <w:t xml:space="preserve">Cameron Morley informed </w:t>
            </w:r>
            <w:r w:rsidR="00A45E6F" w:rsidRPr="00011E25">
              <w:rPr>
                <w:rFonts w:cs="Arial"/>
                <w:szCs w:val="22"/>
              </w:rPr>
              <w:t>the Committee of</w:t>
            </w:r>
            <w:r w:rsidRPr="00011E25">
              <w:rPr>
                <w:rFonts w:cs="Arial"/>
                <w:szCs w:val="22"/>
              </w:rPr>
              <w:t xml:space="preserve"> the recently published 6</w:t>
            </w:r>
            <w:r w:rsidRPr="00011E25">
              <w:rPr>
                <w:rFonts w:cs="Arial"/>
                <w:szCs w:val="22"/>
                <w:vertAlign w:val="superscript"/>
              </w:rPr>
              <w:t>th</w:t>
            </w:r>
            <w:r w:rsidRPr="00011E25">
              <w:rPr>
                <w:rFonts w:cs="Arial"/>
                <w:szCs w:val="22"/>
              </w:rPr>
              <w:t xml:space="preserve"> edition of Living Learning Libraries: Standards and Guidelines for NSW Public Libraries.</w:t>
            </w:r>
          </w:p>
          <w:p w:rsidR="008568D1" w:rsidRPr="00011E25" w:rsidRDefault="008568D1" w:rsidP="008568D1">
            <w:pPr>
              <w:pStyle w:val="Heading2"/>
            </w:pPr>
            <w:r w:rsidRPr="00011E25">
              <w:t>Background</w:t>
            </w:r>
          </w:p>
          <w:p w:rsidR="008568D1" w:rsidRPr="00011E25" w:rsidRDefault="008568D1" w:rsidP="008568D1">
            <w:pPr>
              <w:pStyle w:val="Heading2"/>
              <w:spacing w:before="0"/>
              <w:rPr>
                <w:rFonts w:cs="Times New Roman"/>
                <w:b w:val="0"/>
                <w:bCs w:val="0"/>
                <w:iCs w:val="0"/>
                <w:noProof/>
                <w:szCs w:val="20"/>
              </w:rPr>
            </w:pPr>
            <w:r w:rsidRPr="00011E25">
              <w:rPr>
                <w:rFonts w:cs="Times New Roman"/>
                <w:b w:val="0"/>
                <w:bCs w:val="0"/>
                <w:iCs w:val="0"/>
                <w:noProof/>
                <w:szCs w:val="20"/>
              </w:rPr>
              <w:t xml:space="preserve">Living Learning Libraries: standards and guidelines for NSW public libraries, is an evidence-based guide to the development of library services in NSW. Written in two parts, it provides a practical basis for comparison among library services, as well as a framework for service assessment and continuous improvement. </w:t>
            </w:r>
          </w:p>
          <w:p w:rsidR="008568D1" w:rsidRPr="00011E25" w:rsidRDefault="008568D1" w:rsidP="008568D1">
            <w:pPr>
              <w:pStyle w:val="Heading2"/>
              <w:rPr>
                <w:rFonts w:cs="Times New Roman"/>
                <w:b w:val="0"/>
                <w:bCs w:val="0"/>
                <w:iCs w:val="0"/>
                <w:noProof/>
                <w:szCs w:val="20"/>
              </w:rPr>
            </w:pPr>
            <w:r w:rsidRPr="00011E25">
              <w:rPr>
                <w:rFonts w:cs="Times New Roman"/>
                <w:b w:val="0"/>
                <w:bCs w:val="0"/>
                <w:iCs w:val="0"/>
                <w:noProof/>
                <w:szCs w:val="20"/>
              </w:rPr>
              <w:t>The new edition has been updated using the 2013/14 NSW Public Library Statistics. S</w:t>
            </w:r>
            <w:r w:rsidR="00AA3EF4" w:rsidRPr="00011E25">
              <w:rPr>
                <w:rFonts w:cs="Times New Roman"/>
                <w:b w:val="0"/>
                <w:bCs w:val="0"/>
                <w:iCs w:val="0"/>
                <w:noProof/>
                <w:szCs w:val="20"/>
              </w:rPr>
              <w:t>tandard 1</w:t>
            </w:r>
            <w:r w:rsidRPr="00011E25">
              <w:rPr>
                <w:rFonts w:cs="Times New Roman"/>
                <w:b w:val="0"/>
                <w:bCs w:val="0"/>
                <w:iCs w:val="0"/>
                <w:noProof/>
                <w:szCs w:val="20"/>
              </w:rPr>
              <w:t>6</w:t>
            </w:r>
            <w:r w:rsidR="00AA3EF4" w:rsidRPr="00011E25">
              <w:rPr>
                <w:rFonts w:cs="Times New Roman"/>
                <w:b w:val="0"/>
                <w:bCs w:val="0"/>
                <w:iCs w:val="0"/>
                <w:noProof/>
                <w:szCs w:val="20"/>
              </w:rPr>
              <w:t xml:space="preserve"> (S.16)</w:t>
            </w:r>
            <w:r w:rsidRPr="00011E25">
              <w:rPr>
                <w:rFonts w:cs="Times New Roman"/>
                <w:b w:val="0"/>
                <w:bCs w:val="0"/>
                <w:iCs w:val="0"/>
                <w:noProof/>
                <w:szCs w:val="20"/>
              </w:rPr>
              <w:t xml:space="preserve"> the standard for measuring use of electronic resources, has also been updated.</w:t>
            </w:r>
          </w:p>
          <w:p w:rsidR="008568D1" w:rsidRPr="00011E25" w:rsidRDefault="008568D1" w:rsidP="008568D1"/>
          <w:p w:rsidR="008568D1" w:rsidRPr="00011E25" w:rsidRDefault="008568D1" w:rsidP="008568D1">
            <w:pPr>
              <w:rPr>
                <w:b/>
              </w:rPr>
            </w:pPr>
            <w:r w:rsidRPr="00011E25">
              <w:rPr>
                <w:b/>
              </w:rPr>
              <w:t>Plan of Action</w:t>
            </w:r>
          </w:p>
          <w:p w:rsidR="008568D1" w:rsidRPr="00011E25" w:rsidRDefault="008568D1" w:rsidP="008568D1">
            <w:r w:rsidRPr="00011E25">
              <w:t xml:space="preserve">The standards will be reviewed extensively in 2016 following the Fit for the Future local government reforms. Council scale is likely to change significantly, which will necessitate review of standards based on per capita. </w:t>
            </w:r>
          </w:p>
          <w:p w:rsidR="008568D1" w:rsidRPr="00011E25" w:rsidRDefault="008568D1" w:rsidP="008568D1"/>
          <w:p w:rsidR="008568D1" w:rsidRPr="00011E25" w:rsidRDefault="008568D1" w:rsidP="008568D1">
            <w:r w:rsidRPr="00011E25">
              <w:t>In addition ALIA will review the national standards. The State Library will ensure that the NSW standards are congruent with any updated national standards where appropriate.</w:t>
            </w:r>
          </w:p>
          <w:p w:rsidR="00AA3EF4" w:rsidRPr="00011E25" w:rsidRDefault="00AA3EF4" w:rsidP="008568D1"/>
          <w:p w:rsidR="00AA3EF4" w:rsidRPr="00011E25" w:rsidRDefault="00AA3EF4" w:rsidP="00AA3EF4">
            <w:r w:rsidRPr="00011E25">
              <w:t>The 6</w:t>
            </w:r>
            <w:r w:rsidRPr="00011E25">
              <w:rPr>
                <w:vertAlign w:val="superscript"/>
              </w:rPr>
              <w:t>th</w:t>
            </w:r>
            <w:r w:rsidRPr="00011E25">
              <w:t xml:space="preserve"> edition will be published on the State Library website following </w:t>
            </w:r>
            <w:r w:rsidR="0085380C" w:rsidRPr="00011E25">
              <w:t>the Committee meeting</w:t>
            </w:r>
            <w:r w:rsidRPr="00011E25">
              <w:t>.</w:t>
            </w:r>
          </w:p>
          <w:p w:rsidR="00AA3EF4" w:rsidRPr="00011E25" w:rsidRDefault="00AA3EF4" w:rsidP="008568D1"/>
          <w:p w:rsidR="008568D1" w:rsidRPr="00011E25" w:rsidRDefault="008568D1" w:rsidP="008568D1">
            <w:pPr>
              <w:pStyle w:val="Heading2"/>
            </w:pPr>
            <w:r w:rsidRPr="00011E25">
              <w:t>Recommendation</w:t>
            </w:r>
          </w:p>
          <w:p w:rsidR="006F619A" w:rsidRPr="00011E25" w:rsidRDefault="00AA3EF4" w:rsidP="005B48BC">
            <w:pPr>
              <w:jc w:val="both"/>
              <w:rPr>
                <w:rFonts w:cs="Arial"/>
              </w:rPr>
            </w:pPr>
            <w:r w:rsidRPr="00011E25">
              <w:rPr>
                <w:rFonts w:cs="Arial"/>
                <w:szCs w:val="22"/>
              </w:rPr>
              <w:t>T</w:t>
            </w:r>
            <w:r w:rsidR="008568D1" w:rsidRPr="00011E25">
              <w:rPr>
                <w:rFonts w:cs="Arial"/>
                <w:szCs w:val="22"/>
              </w:rPr>
              <w:t>he Public Libraries Consultative Committee</w:t>
            </w:r>
            <w:r w:rsidRPr="00011E25">
              <w:rPr>
                <w:rFonts w:cs="Arial"/>
                <w:szCs w:val="22"/>
              </w:rPr>
              <w:t xml:space="preserve"> NOTED t</w:t>
            </w:r>
            <w:r w:rsidR="008568D1" w:rsidRPr="00011E25">
              <w:rPr>
                <w:rFonts w:cs="Arial"/>
                <w:szCs w:val="22"/>
              </w:rPr>
              <w:t>he 6</w:t>
            </w:r>
            <w:r w:rsidR="008568D1" w:rsidRPr="00011E25">
              <w:rPr>
                <w:rFonts w:cs="Arial"/>
                <w:szCs w:val="22"/>
                <w:vertAlign w:val="superscript"/>
              </w:rPr>
              <w:t>th</w:t>
            </w:r>
            <w:r w:rsidR="008568D1" w:rsidRPr="00011E25">
              <w:rPr>
                <w:rFonts w:cs="Arial"/>
                <w:szCs w:val="22"/>
              </w:rPr>
              <w:t xml:space="preserve"> edition of Living Learning Libraries: standards and guidelines for NSW public libraries</w:t>
            </w:r>
            <w:r w:rsidRPr="00011E25">
              <w:rPr>
                <w:rFonts w:cs="Arial"/>
                <w:szCs w:val="22"/>
              </w:rPr>
              <w:t xml:space="preserve">. </w:t>
            </w:r>
          </w:p>
        </w:tc>
        <w:tc>
          <w:tcPr>
            <w:tcW w:w="1337" w:type="dxa"/>
            <w:shd w:val="clear" w:color="auto" w:fill="auto"/>
          </w:tcPr>
          <w:p w:rsidR="00833B2B" w:rsidRPr="00011E25" w:rsidRDefault="00AA3EF4" w:rsidP="0073130A">
            <w:pPr>
              <w:rPr>
                <w:rFonts w:cs="Arial"/>
              </w:rPr>
            </w:pPr>
            <w:r w:rsidRPr="00011E25">
              <w:rPr>
                <w:rFonts w:cs="Arial"/>
              </w:rPr>
              <w:t>Cameron Morley</w:t>
            </w: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33B2B" w:rsidRPr="00011E25" w:rsidRDefault="00833B2B" w:rsidP="0073130A">
            <w:pPr>
              <w:rPr>
                <w:rFonts w:cs="Arial"/>
              </w:rPr>
            </w:pPr>
          </w:p>
          <w:p w:rsidR="00887445" w:rsidRPr="00011E25" w:rsidRDefault="00887445" w:rsidP="00751880">
            <w:pPr>
              <w:rPr>
                <w:rFonts w:cs="Arial"/>
              </w:rPr>
            </w:pPr>
          </w:p>
        </w:tc>
      </w:tr>
      <w:tr w:rsidR="00011E25" w:rsidRPr="00011E25" w:rsidTr="00347DF7">
        <w:tc>
          <w:tcPr>
            <w:tcW w:w="550" w:type="dxa"/>
            <w:shd w:val="clear" w:color="auto" w:fill="auto"/>
          </w:tcPr>
          <w:p w:rsidR="00060DE2" w:rsidRPr="00011E25" w:rsidRDefault="00060DE2" w:rsidP="00775131">
            <w:pPr>
              <w:pStyle w:val="Heading2"/>
              <w:keepNext w:val="0"/>
              <w:spacing w:before="60"/>
              <w:rPr>
                <w:iCs w:val="0"/>
                <w:szCs w:val="22"/>
              </w:rPr>
            </w:pPr>
          </w:p>
        </w:tc>
        <w:tc>
          <w:tcPr>
            <w:tcW w:w="6409" w:type="dxa"/>
            <w:shd w:val="clear" w:color="auto" w:fill="auto"/>
          </w:tcPr>
          <w:p w:rsidR="00060DE2" w:rsidRPr="00011E25" w:rsidRDefault="00060DE2" w:rsidP="008568D1">
            <w:pPr>
              <w:rPr>
                <w:rFonts w:cs="Arial"/>
                <w:b/>
                <w:szCs w:val="22"/>
              </w:rPr>
            </w:pPr>
          </w:p>
        </w:tc>
        <w:tc>
          <w:tcPr>
            <w:tcW w:w="1337" w:type="dxa"/>
            <w:shd w:val="clear" w:color="auto" w:fill="auto"/>
          </w:tcPr>
          <w:p w:rsidR="00060DE2" w:rsidRPr="00011E25" w:rsidRDefault="00060DE2" w:rsidP="0073130A">
            <w:pPr>
              <w:rPr>
                <w:rFonts w:cs="Arial"/>
              </w:rPr>
            </w:pPr>
          </w:p>
        </w:tc>
      </w:tr>
      <w:tr w:rsidR="00011E25" w:rsidRPr="00011E25" w:rsidTr="00347DF7">
        <w:tc>
          <w:tcPr>
            <w:tcW w:w="550" w:type="dxa"/>
            <w:shd w:val="clear" w:color="auto" w:fill="auto"/>
          </w:tcPr>
          <w:p w:rsidR="00060DE2" w:rsidRPr="00011E25" w:rsidRDefault="00060DE2" w:rsidP="00775131">
            <w:pPr>
              <w:pStyle w:val="Heading2"/>
              <w:keepNext w:val="0"/>
              <w:spacing w:before="60"/>
              <w:rPr>
                <w:iCs w:val="0"/>
                <w:szCs w:val="22"/>
              </w:rPr>
            </w:pPr>
          </w:p>
          <w:p w:rsidR="00060DE2" w:rsidRPr="00011E25" w:rsidRDefault="00060DE2" w:rsidP="00060DE2"/>
          <w:p w:rsidR="00060DE2" w:rsidRPr="00011E25" w:rsidRDefault="00060DE2" w:rsidP="00060DE2"/>
          <w:p w:rsidR="00060DE2" w:rsidRPr="00011E25" w:rsidRDefault="00060DE2" w:rsidP="00060DE2">
            <w:pPr>
              <w:pStyle w:val="Heading2"/>
            </w:pPr>
            <w:r w:rsidRPr="00011E25">
              <w:t>4.4</w:t>
            </w:r>
          </w:p>
          <w:p w:rsidR="00060DE2" w:rsidRPr="00011E25" w:rsidRDefault="00060DE2" w:rsidP="00060DE2"/>
          <w:p w:rsidR="00060DE2" w:rsidRPr="00011E25" w:rsidRDefault="00060DE2" w:rsidP="00060DE2"/>
          <w:p w:rsidR="00060DE2" w:rsidRPr="00011E25" w:rsidRDefault="00060DE2" w:rsidP="00060DE2"/>
          <w:p w:rsidR="00060DE2" w:rsidRPr="00011E25" w:rsidRDefault="00060DE2" w:rsidP="00060DE2"/>
          <w:p w:rsidR="00060DE2" w:rsidRPr="00011E25" w:rsidRDefault="00060DE2" w:rsidP="00060DE2">
            <w:pPr>
              <w:pStyle w:val="Heading2"/>
            </w:pPr>
            <w:r w:rsidRPr="00011E25">
              <w:t>4.5</w:t>
            </w:r>
          </w:p>
          <w:p w:rsidR="00060DE2" w:rsidRPr="00011E25" w:rsidRDefault="00060DE2" w:rsidP="00060DE2"/>
          <w:p w:rsidR="00060DE2" w:rsidRPr="00011E25" w:rsidRDefault="00060DE2" w:rsidP="00060DE2"/>
          <w:p w:rsidR="00060DE2" w:rsidRPr="00011E25" w:rsidRDefault="00060DE2" w:rsidP="00060DE2"/>
          <w:p w:rsidR="00060DE2" w:rsidRPr="00011E25" w:rsidRDefault="00060DE2" w:rsidP="00060DE2"/>
          <w:p w:rsidR="00060DE2" w:rsidRPr="00011E25" w:rsidRDefault="00060DE2" w:rsidP="00060DE2">
            <w:pPr>
              <w:pStyle w:val="Heading2"/>
            </w:pPr>
            <w:r w:rsidRPr="00011E25">
              <w:t>4.6</w:t>
            </w:r>
          </w:p>
        </w:tc>
        <w:tc>
          <w:tcPr>
            <w:tcW w:w="6409" w:type="dxa"/>
            <w:shd w:val="clear" w:color="auto" w:fill="auto"/>
          </w:tcPr>
          <w:p w:rsidR="00060DE2" w:rsidRPr="00011E25" w:rsidRDefault="00060DE2" w:rsidP="00060DE2">
            <w:pPr>
              <w:ind w:right="46"/>
            </w:pPr>
            <w:r w:rsidRPr="00011E25">
              <w:t xml:space="preserve">The following items were accepted and NOTED by </w:t>
            </w:r>
            <w:r w:rsidRPr="00011E25">
              <w:rPr>
                <w:rFonts w:cs="Arial"/>
                <w:szCs w:val="22"/>
              </w:rPr>
              <w:t xml:space="preserve">the Public Libraries Consultative Committee without discussion: </w:t>
            </w:r>
          </w:p>
          <w:p w:rsidR="00060DE2" w:rsidRPr="00011E25" w:rsidRDefault="00060DE2" w:rsidP="00060DE2">
            <w:pPr>
              <w:ind w:right="46"/>
              <w:rPr>
                <w:b/>
              </w:rPr>
            </w:pPr>
          </w:p>
          <w:p w:rsidR="00060DE2" w:rsidRPr="00011E25" w:rsidRDefault="00060DE2" w:rsidP="00060DE2">
            <w:pPr>
              <w:ind w:right="46"/>
              <w:rPr>
                <w:b/>
              </w:rPr>
            </w:pPr>
            <w:r w:rsidRPr="00011E25">
              <w:rPr>
                <w:b/>
              </w:rPr>
              <w:t>Find Legal Answers and drug info @ your library</w:t>
            </w:r>
            <w:r w:rsidRPr="00011E25">
              <w:t xml:space="preserve"> </w:t>
            </w:r>
            <w:r w:rsidRPr="00011E25">
              <w:rPr>
                <w:b/>
              </w:rPr>
              <w:t>annual reports 2014-15</w:t>
            </w:r>
          </w:p>
          <w:p w:rsidR="00060DE2" w:rsidRPr="00011E25" w:rsidRDefault="00060DE2" w:rsidP="00060DE2">
            <w:pPr>
              <w:ind w:right="46"/>
              <w:jc w:val="both"/>
            </w:pPr>
            <w:r w:rsidRPr="00011E25">
              <w:t>The Committee was provided with copies of the annual reports 2014-15 for the Legal Information Access Centre (LIAC) and drug info @ your library service.</w:t>
            </w:r>
          </w:p>
          <w:p w:rsidR="00060DE2" w:rsidRPr="00011E25" w:rsidRDefault="00060DE2" w:rsidP="00060DE2">
            <w:pPr>
              <w:ind w:right="46"/>
              <w:rPr>
                <w:b/>
                <w:szCs w:val="22"/>
              </w:rPr>
            </w:pPr>
          </w:p>
          <w:p w:rsidR="00060DE2" w:rsidRPr="00011E25" w:rsidRDefault="00060DE2" w:rsidP="00060DE2">
            <w:pPr>
              <w:ind w:right="46"/>
            </w:pPr>
            <w:r w:rsidRPr="00011E25">
              <w:rPr>
                <w:b/>
                <w:szCs w:val="22"/>
              </w:rPr>
              <w:t>Bulk loans service pilots</w:t>
            </w:r>
            <w:r w:rsidRPr="00011E25">
              <w:rPr>
                <w:szCs w:val="22"/>
              </w:rPr>
              <w:br/>
            </w:r>
            <w:r w:rsidRPr="00011E25">
              <w:t xml:space="preserve">The Committee was provided with an update on the planning for the pilots of alternative models for the </w:t>
            </w:r>
            <w:r w:rsidRPr="00011E25">
              <w:rPr>
                <w:rFonts w:cs="Arial"/>
                <w:lang w:eastAsia="en-US"/>
              </w:rPr>
              <w:t xml:space="preserve">multicultural and alternate format </w:t>
            </w:r>
            <w:r w:rsidRPr="00011E25">
              <w:t xml:space="preserve">bulk loans service. </w:t>
            </w:r>
          </w:p>
          <w:p w:rsidR="00060DE2" w:rsidRPr="00011E25" w:rsidRDefault="00060DE2" w:rsidP="00060DE2">
            <w:pPr>
              <w:rPr>
                <w:b/>
                <w:szCs w:val="22"/>
              </w:rPr>
            </w:pPr>
          </w:p>
          <w:p w:rsidR="00060DE2" w:rsidRPr="00011E25" w:rsidRDefault="00060DE2" w:rsidP="00060DE2">
            <w:r w:rsidRPr="00011E25">
              <w:rPr>
                <w:b/>
                <w:szCs w:val="22"/>
              </w:rPr>
              <w:t>Tech Savvy Seniors</w:t>
            </w:r>
            <w:r w:rsidRPr="00011E25">
              <w:rPr>
                <w:b/>
                <w:szCs w:val="22"/>
              </w:rPr>
              <w:br/>
            </w:r>
            <w:r w:rsidRPr="00011E25">
              <w:t>The Committee was provided with an update on the Tech Savvy Seniors program, a digital literacy skills training program funded by the NSW Government and Telstra, delivered in NSW public libraries.</w:t>
            </w:r>
          </w:p>
          <w:p w:rsidR="00060DE2" w:rsidRPr="00011E25" w:rsidRDefault="00060DE2" w:rsidP="00060DE2"/>
          <w:p w:rsidR="00060DE2" w:rsidRPr="00011E25" w:rsidRDefault="00060DE2" w:rsidP="00675FDE">
            <w:r w:rsidRPr="00011E25">
              <w:t>Lucy Milne advised the Committee that prior to 2016, approximately $80,000 per annum had been provided to the State Library for the program. This had increased to $230,000 reflecting the value and success of the program, and recognition from the funders that libraries are ideal partners</w:t>
            </w:r>
            <w:r w:rsidR="00675FDE" w:rsidRPr="00011E25">
              <w:t>.</w:t>
            </w:r>
          </w:p>
          <w:p w:rsidR="00675FDE" w:rsidRPr="00011E25" w:rsidRDefault="00675FDE" w:rsidP="00675FDE">
            <w:pPr>
              <w:rPr>
                <w:rFonts w:cs="Arial"/>
                <w:b/>
                <w:szCs w:val="22"/>
              </w:rPr>
            </w:pPr>
          </w:p>
        </w:tc>
        <w:tc>
          <w:tcPr>
            <w:tcW w:w="1337" w:type="dxa"/>
            <w:shd w:val="clear" w:color="auto" w:fill="auto"/>
          </w:tcPr>
          <w:p w:rsidR="00060DE2" w:rsidRPr="00011E25" w:rsidRDefault="00060DE2" w:rsidP="0073130A">
            <w:pPr>
              <w:rPr>
                <w:rFonts w:cs="Arial"/>
              </w:rPr>
            </w:pPr>
          </w:p>
        </w:tc>
      </w:tr>
      <w:tr w:rsidR="00011E25" w:rsidRPr="00011E25" w:rsidTr="00347DF7">
        <w:tc>
          <w:tcPr>
            <w:tcW w:w="550" w:type="dxa"/>
            <w:shd w:val="clear" w:color="auto" w:fill="auto"/>
          </w:tcPr>
          <w:p w:rsidR="000319D3" w:rsidRPr="00011E25" w:rsidRDefault="000319D3" w:rsidP="000319D3">
            <w:pPr>
              <w:pStyle w:val="Heading2"/>
              <w:keepNext w:val="0"/>
              <w:spacing w:before="60"/>
              <w:rPr>
                <w:b w:val="0"/>
                <w:iCs w:val="0"/>
                <w:sz w:val="24"/>
              </w:rPr>
            </w:pPr>
          </w:p>
        </w:tc>
        <w:tc>
          <w:tcPr>
            <w:tcW w:w="6409" w:type="dxa"/>
            <w:shd w:val="clear" w:color="auto" w:fill="auto"/>
          </w:tcPr>
          <w:p w:rsidR="000319D3" w:rsidRPr="00011E25" w:rsidRDefault="000319D3" w:rsidP="006014A8"/>
        </w:tc>
        <w:tc>
          <w:tcPr>
            <w:tcW w:w="1337" w:type="dxa"/>
            <w:shd w:val="clear" w:color="auto" w:fill="auto"/>
          </w:tcPr>
          <w:p w:rsidR="000319D3" w:rsidRPr="00011E25" w:rsidRDefault="000319D3" w:rsidP="0073130A">
            <w:pPr>
              <w:rPr>
                <w:rFonts w:cs="Arial"/>
              </w:rPr>
            </w:pPr>
          </w:p>
        </w:tc>
      </w:tr>
      <w:tr w:rsidR="00011E25" w:rsidRPr="00011E25" w:rsidTr="00347DF7">
        <w:tc>
          <w:tcPr>
            <w:tcW w:w="550" w:type="dxa"/>
            <w:shd w:val="clear" w:color="auto" w:fill="auto"/>
          </w:tcPr>
          <w:p w:rsidR="00D070BA" w:rsidRPr="00011E25" w:rsidRDefault="00F24075" w:rsidP="00AA3EF4">
            <w:pPr>
              <w:pStyle w:val="Heading2"/>
            </w:pPr>
            <w:r w:rsidRPr="00011E25">
              <w:t>5.1</w:t>
            </w:r>
          </w:p>
          <w:p w:rsidR="00D070BA" w:rsidRPr="00011E25" w:rsidRDefault="00D070BA" w:rsidP="00AA3EF4">
            <w:pPr>
              <w:pStyle w:val="Heading2"/>
            </w:pPr>
          </w:p>
          <w:p w:rsidR="00AA3EF4" w:rsidRPr="00011E25" w:rsidRDefault="00AA3EF4" w:rsidP="00AA3EF4">
            <w:pPr>
              <w:pStyle w:val="Heading2"/>
            </w:pPr>
          </w:p>
        </w:tc>
        <w:tc>
          <w:tcPr>
            <w:tcW w:w="6409" w:type="dxa"/>
            <w:shd w:val="clear" w:color="auto" w:fill="auto"/>
          </w:tcPr>
          <w:p w:rsidR="00F8068B" w:rsidRPr="00011E25" w:rsidRDefault="00F24075" w:rsidP="00F24075">
            <w:pPr>
              <w:pStyle w:val="Heading2"/>
              <w:rPr>
                <w:b w:val="0"/>
              </w:rPr>
            </w:pPr>
            <w:r w:rsidRPr="00011E25">
              <w:t>Motion from NSWPLA</w:t>
            </w:r>
            <w:r w:rsidR="004F20E9" w:rsidRPr="00011E25">
              <w:br/>
            </w:r>
            <w:r w:rsidR="00F8068B" w:rsidRPr="00011E25">
              <w:rPr>
                <w:b w:val="0"/>
              </w:rPr>
              <w:t xml:space="preserve">A motion was submitted </w:t>
            </w:r>
            <w:proofErr w:type="spellStart"/>
            <w:r w:rsidR="00F8068B" w:rsidRPr="00011E25">
              <w:rPr>
                <w:b w:val="0"/>
              </w:rPr>
              <w:t>Clr</w:t>
            </w:r>
            <w:proofErr w:type="spellEnd"/>
            <w:r w:rsidR="00F8068B" w:rsidRPr="00011E25">
              <w:rPr>
                <w:b w:val="0"/>
              </w:rPr>
              <w:t xml:space="preserve"> Graham Smith on behalf of the Northeast Zone requesting PLCC and Library Council of NSW reconsider the terms of the Public Libraries Infrastructure Fund grants program to enable more substantial projects to be undertaken. </w:t>
            </w:r>
          </w:p>
          <w:p w:rsidR="00F56ECB" w:rsidRPr="00011E25" w:rsidRDefault="00F8068B" w:rsidP="00862AB7">
            <w:pPr>
              <w:pStyle w:val="Heading2"/>
            </w:pPr>
            <w:r w:rsidRPr="00011E25">
              <w:rPr>
                <w:b w:val="0"/>
              </w:rPr>
              <w:t xml:space="preserve">The Committee discussed the motion and </w:t>
            </w:r>
            <w:r w:rsidR="00862AB7" w:rsidRPr="00011E25">
              <w:rPr>
                <w:b w:val="0"/>
              </w:rPr>
              <w:t xml:space="preserve">agreed this would be considered as part of the renewal funding at the end of the current four year cycle.  </w:t>
            </w:r>
            <w:r w:rsidR="00F56ECB" w:rsidRPr="00011E25">
              <w:t xml:space="preserve">  </w:t>
            </w:r>
          </w:p>
        </w:tc>
        <w:tc>
          <w:tcPr>
            <w:tcW w:w="1337" w:type="dxa"/>
            <w:shd w:val="clear" w:color="auto" w:fill="auto"/>
          </w:tcPr>
          <w:p w:rsidR="00D44EA9" w:rsidRPr="00011E25" w:rsidRDefault="00D44EA9" w:rsidP="0073130A">
            <w:pPr>
              <w:rPr>
                <w:rFonts w:cs="Arial"/>
              </w:rPr>
            </w:pPr>
          </w:p>
          <w:p w:rsidR="00F24075" w:rsidRPr="00011E25" w:rsidRDefault="00F24075" w:rsidP="00DC65A1">
            <w:pPr>
              <w:rPr>
                <w:rFonts w:cs="Arial"/>
              </w:rPr>
            </w:pPr>
            <w:proofErr w:type="spellStart"/>
            <w:r w:rsidRPr="00011E25">
              <w:rPr>
                <w:rFonts w:cs="Arial"/>
              </w:rPr>
              <w:t>Clr</w:t>
            </w:r>
            <w:proofErr w:type="spellEnd"/>
            <w:r w:rsidRPr="00011E25">
              <w:rPr>
                <w:rFonts w:cs="Arial"/>
              </w:rPr>
              <w:t xml:space="preserve"> Graham Smith </w:t>
            </w:r>
          </w:p>
          <w:p w:rsidR="00237145" w:rsidRPr="00011E25" w:rsidRDefault="00F24075" w:rsidP="00DC65A1">
            <w:pPr>
              <w:rPr>
                <w:rFonts w:cs="Arial"/>
              </w:rPr>
            </w:pPr>
            <w:proofErr w:type="spellStart"/>
            <w:r w:rsidRPr="00011E25">
              <w:rPr>
                <w:rFonts w:cs="Arial"/>
              </w:rPr>
              <w:t>Clr</w:t>
            </w:r>
            <w:proofErr w:type="spellEnd"/>
            <w:r w:rsidRPr="00011E25">
              <w:rPr>
                <w:rFonts w:cs="Arial"/>
              </w:rPr>
              <w:t xml:space="preserve"> Linda Gill</w:t>
            </w:r>
          </w:p>
        </w:tc>
      </w:tr>
      <w:tr w:rsidR="00011E25" w:rsidRPr="00011E25" w:rsidTr="00347DF7">
        <w:tc>
          <w:tcPr>
            <w:tcW w:w="550" w:type="dxa"/>
            <w:shd w:val="clear" w:color="auto" w:fill="auto"/>
          </w:tcPr>
          <w:p w:rsidR="0034198D" w:rsidRPr="00011E25" w:rsidRDefault="0034198D" w:rsidP="0073130A">
            <w:pPr>
              <w:pStyle w:val="Heading2"/>
              <w:keepNext w:val="0"/>
              <w:spacing w:before="60"/>
              <w:rPr>
                <w:iCs w:val="0"/>
                <w:szCs w:val="22"/>
              </w:rPr>
            </w:pPr>
          </w:p>
        </w:tc>
        <w:tc>
          <w:tcPr>
            <w:tcW w:w="6409" w:type="dxa"/>
            <w:shd w:val="clear" w:color="auto" w:fill="auto"/>
          </w:tcPr>
          <w:p w:rsidR="0034198D" w:rsidRPr="00011E25" w:rsidRDefault="0034198D" w:rsidP="0073130A">
            <w:pPr>
              <w:pStyle w:val="Heading2"/>
              <w:keepNext w:val="0"/>
              <w:spacing w:before="60"/>
              <w:rPr>
                <w:bCs w:val="0"/>
                <w:iCs w:val="0"/>
                <w:szCs w:val="22"/>
              </w:rPr>
            </w:pPr>
          </w:p>
        </w:tc>
        <w:tc>
          <w:tcPr>
            <w:tcW w:w="1337" w:type="dxa"/>
            <w:shd w:val="clear" w:color="auto" w:fill="auto"/>
          </w:tcPr>
          <w:p w:rsidR="0034198D" w:rsidRPr="00011E25" w:rsidRDefault="0034198D" w:rsidP="0073130A">
            <w:pPr>
              <w:rPr>
                <w:rFonts w:cs="Arial"/>
              </w:rPr>
            </w:pPr>
          </w:p>
        </w:tc>
      </w:tr>
      <w:tr w:rsidR="00011E25" w:rsidRPr="00011E25" w:rsidTr="00347DF7">
        <w:tc>
          <w:tcPr>
            <w:tcW w:w="550" w:type="dxa"/>
            <w:shd w:val="clear" w:color="auto" w:fill="auto"/>
          </w:tcPr>
          <w:p w:rsidR="00D44EA9" w:rsidRPr="00011E25" w:rsidRDefault="00F24075" w:rsidP="0073130A">
            <w:pPr>
              <w:pStyle w:val="Heading2"/>
              <w:keepNext w:val="0"/>
              <w:spacing w:before="60"/>
              <w:rPr>
                <w:iCs w:val="0"/>
                <w:szCs w:val="22"/>
              </w:rPr>
            </w:pPr>
            <w:r w:rsidRPr="00011E25">
              <w:rPr>
                <w:iCs w:val="0"/>
                <w:szCs w:val="22"/>
              </w:rPr>
              <w:t>5.2</w:t>
            </w:r>
          </w:p>
        </w:tc>
        <w:tc>
          <w:tcPr>
            <w:tcW w:w="6409" w:type="dxa"/>
            <w:shd w:val="clear" w:color="auto" w:fill="auto"/>
          </w:tcPr>
          <w:p w:rsidR="00824B63" w:rsidRPr="00011E25" w:rsidRDefault="00824B63" w:rsidP="00824B63">
            <w:pPr>
              <w:jc w:val="both"/>
              <w:rPr>
                <w:rFonts w:cs="Arial"/>
                <w:b/>
                <w:szCs w:val="22"/>
              </w:rPr>
            </w:pPr>
            <w:r w:rsidRPr="00011E25">
              <w:rPr>
                <w:rFonts w:cs="Arial"/>
                <w:b/>
                <w:szCs w:val="22"/>
              </w:rPr>
              <w:t>Association Report</w:t>
            </w:r>
          </w:p>
          <w:p w:rsidR="006B38A4" w:rsidRPr="00011E25" w:rsidRDefault="00824B63" w:rsidP="007A31BE">
            <w:pPr>
              <w:rPr>
                <w:szCs w:val="22"/>
              </w:rPr>
            </w:pPr>
            <w:proofErr w:type="spellStart"/>
            <w:r w:rsidRPr="00011E25">
              <w:rPr>
                <w:rFonts w:cs="Arial"/>
                <w:szCs w:val="22"/>
              </w:rPr>
              <w:t>Clr</w:t>
            </w:r>
            <w:proofErr w:type="spellEnd"/>
            <w:r w:rsidRPr="00011E25">
              <w:rPr>
                <w:rFonts w:cs="Arial"/>
                <w:szCs w:val="22"/>
              </w:rPr>
              <w:t xml:space="preserve"> Graham Smith updated the Committee on NSWPLA matters, including strategic </w:t>
            </w:r>
            <w:r w:rsidR="00D8569B" w:rsidRPr="00011E25">
              <w:rPr>
                <w:rFonts w:cs="Arial"/>
                <w:szCs w:val="22"/>
              </w:rPr>
              <w:t>planning</w:t>
            </w:r>
            <w:r w:rsidR="007A31BE" w:rsidRPr="00011E25">
              <w:rPr>
                <w:rFonts w:cs="Arial"/>
                <w:szCs w:val="22"/>
              </w:rPr>
              <w:t xml:space="preserve"> and </w:t>
            </w:r>
            <w:r w:rsidR="00D8569B" w:rsidRPr="00011E25">
              <w:rPr>
                <w:rFonts w:cs="Arial"/>
                <w:szCs w:val="22"/>
              </w:rPr>
              <w:t>cooperation across</w:t>
            </w:r>
            <w:r w:rsidR="007A31BE" w:rsidRPr="00011E25">
              <w:rPr>
                <w:rFonts w:cs="Arial"/>
                <w:szCs w:val="22"/>
              </w:rPr>
              <w:t xml:space="preserve"> the network. </w:t>
            </w:r>
            <w:r w:rsidR="00D8569B" w:rsidRPr="00011E25">
              <w:rPr>
                <w:rFonts w:cs="Arial"/>
                <w:szCs w:val="22"/>
              </w:rPr>
              <w:t xml:space="preserve"> </w:t>
            </w:r>
          </w:p>
        </w:tc>
        <w:tc>
          <w:tcPr>
            <w:tcW w:w="1337" w:type="dxa"/>
            <w:shd w:val="clear" w:color="auto" w:fill="auto"/>
          </w:tcPr>
          <w:p w:rsidR="00D44EA9" w:rsidRPr="00011E25" w:rsidRDefault="00824B63" w:rsidP="0073130A">
            <w:pPr>
              <w:rPr>
                <w:rFonts w:cs="Arial"/>
              </w:rPr>
            </w:pPr>
            <w:proofErr w:type="spellStart"/>
            <w:r w:rsidRPr="00011E25">
              <w:rPr>
                <w:rFonts w:cs="Arial"/>
              </w:rPr>
              <w:t>Clr</w:t>
            </w:r>
            <w:proofErr w:type="spellEnd"/>
            <w:r w:rsidRPr="00011E25">
              <w:rPr>
                <w:rFonts w:cs="Arial"/>
              </w:rPr>
              <w:t xml:space="preserve"> Graham Smith</w:t>
            </w:r>
          </w:p>
          <w:p w:rsidR="00890520" w:rsidRPr="00011E25" w:rsidRDefault="00890520" w:rsidP="00C35B49">
            <w:pPr>
              <w:rPr>
                <w:rFonts w:cs="Arial"/>
              </w:rPr>
            </w:pPr>
          </w:p>
        </w:tc>
      </w:tr>
      <w:tr w:rsidR="00011E25" w:rsidRPr="00011E25" w:rsidTr="00347DF7">
        <w:tc>
          <w:tcPr>
            <w:tcW w:w="550" w:type="dxa"/>
            <w:shd w:val="clear" w:color="auto" w:fill="auto"/>
          </w:tcPr>
          <w:p w:rsidR="0034198D" w:rsidRPr="00011E25" w:rsidRDefault="0034198D" w:rsidP="0073130A">
            <w:pPr>
              <w:pStyle w:val="Heading2"/>
              <w:keepNext w:val="0"/>
              <w:spacing w:before="60"/>
              <w:rPr>
                <w:iCs w:val="0"/>
                <w:szCs w:val="22"/>
              </w:rPr>
            </w:pPr>
          </w:p>
        </w:tc>
        <w:tc>
          <w:tcPr>
            <w:tcW w:w="6409" w:type="dxa"/>
            <w:shd w:val="clear" w:color="auto" w:fill="auto"/>
          </w:tcPr>
          <w:p w:rsidR="003C5ED4" w:rsidRPr="00011E25" w:rsidRDefault="003C5ED4" w:rsidP="003C5ED4"/>
        </w:tc>
        <w:tc>
          <w:tcPr>
            <w:tcW w:w="1337" w:type="dxa"/>
            <w:shd w:val="clear" w:color="auto" w:fill="auto"/>
          </w:tcPr>
          <w:p w:rsidR="0034198D" w:rsidRPr="00011E25" w:rsidRDefault="0034198D" w:rsidP="0073130A">
            <w:pPr>
              <w:rPr>
                <w:rFonts w:cs="Arial"/>
              </w:rPr>
            </w:pPr>
          </w:p>
        </w:tc>
      </w:tr>
      <w:tr w:rsidR="00011E25" w:rsidRPr="00011E25" w:rsidTr="00347DF7">
        <w:tc>
          <w:tcPr>
            <w:tcW w:w="550" w:type="dxa"/>
            <w:shd w:val="clear" w:color="auto" w:fill="auto"/>
          </w:tcPr>
          <w:p w:rsidR="00D44EA9" w:rsidRPr="00011E25" w:rsidRDefault="00C760CA" w:rsidP="00C35B49">
            <w:pPr>
              <w:pStyle w:val="Heading2"/>
              <w:keepNext w:val="0"/>
              <w:spacing w:before="60"/>
              <w:rPr>
                <w:iCs w:val="0"/>
                <w:szCs w:val="22"/>
              </w:rPr>
            </w:pPr>
            <w:r w:rsidRPr="00011E25">
              <w:rPr>
                <w:iCs w:val="0"/>
                <w:szCs w:val="22"/>
              </w:rPr>
              <w:t>6.1</w:t>
            </w:r>
          </w:p>
        </w:tc>
        <w:tc>
          <w:tcPr>
            <w:tcW w:w="6409" w:type="dxa"/>
            <w:shd w:val="clear" w:color="auto" w:fill="auto"/>
          </w:tcPr>
          <w:p w:rsidR="00824B63" w:rsidRPr="00011E25" w:rsidRDefault="00824B63" w:rsidP="00824B63">
            <w:pPr>
              <w:pStyle w:val="Heading2"/>
              <w:keepNext w:val="0"/>
              <w:spacing w:before="60"/>
              <w:rPr>
                <w:bCs w:val="0"/>
                <w:iCs w:val="0"/>
                <w:szCs w:val="22"/>
              </w:rPr>
            </w:pPr>
            <w:r w:rsidRPr="00011E25">
              <w:rPr>
                <w:bCs w:val="0"/>
                <w:iCs w:val="0"/>
                <w:szCs w:val="22"/>
              </w:rPr>
              <w:t>Points for Communication</w:t>
            </w:r>
          </w:p>
          <w:p w:rsidR="00824B63" w:rsidRPr="00011E25" w:rsidRDefault="00824B63" w:rsidP="00824B63">
            <w:pPr>
              <w:rPr>
                <w:szCs w:val="22"/>
              </w:rPr>
            </w:pPr>
            <w:r w:rsidRPr="00011E25">
              <w:rPr>
                <w:szCs w:val="22"/>
              </w:rPr>
              <w:t>It was recommended that a summary of all agenda items be circulated via a Points for Communication email to NSW public library managers.</w:t>
            </w:r>
          </w:p>
          <w:p w:rsidR="002A2F0B" w:rsidRPr="00011E25" w:rsidRDefault="002A2F0B" w:rsidP="00C35B49"/>
        </w:tc>
        <w:tc>
          <w:tcPr>
            <w:tcW w:w="1337" w:type="dxa"/>
            <w:shd w:val="clear" w:color="auto" w:fill="auto"/>
          </w:tcPr>
          <w:p w:rsidR="00D44EA9" w:rsidRPr="00011E25" w:rsidRDefault="006B53D0" w:rsidP="0073130A">
            <w:pPr>
              <w:rPr>
                <w:rFonts w:cs="Arial"/>
                <w:szCs w:val="22"/>
              </w:rPr>
            </w:pPr>
            <w:r w:rsidRPr="00011E25">
              <w:rPr>
                <w:rFonts w:cs="Arial"/>
                <w:szCs w:val="22"/>
              </w:rPr>
              <w:t>Cameron Morley</w:t>
            </w:r>
          </w:p>
          <w:p w:rsidR="00EC09C5" w:rsidRPr="00011E25" w:rsidRDefault="00EC09C5" w:rsidP="0073130A">
            <w:pPr>
              <w:rPr>
                <w:rFonts w:cs="Arial"/>
                <w:szCs w:val="22"/>
              </w:rPr>
            </w:pPr>
          </w:p>
        </w:tc>
      </w:tr>
      <w:tr w:rsidR="00011E25" w:rsidRPr="00011E25" w:rsidTr="00347DF7">
        <w:tc>
          <w:tcPr>
            <w:tcW w:w="550" w:type="dxa"/>
            <w:shd w:val="clear" w:color="auto" w:fill="auto"/>
          </w:tcPr>
          <w:p w:rsidR="00D44EA9" w:rsidRPr="00011E25" w:rsidRDefault="00D44EA9" w:rsidP="0073130A">
            <w:pPr>
              <w:pStyle w:val="Heading2"/>
              <w:keepNext w:val="0"/>
              <w:spacing w:before="60"/>
              <w:rPr>
                <w:b w:val="0"/>
                <w:iCs w:val="0"/>
                <w:sz w:val="24"/>
              </w:rPr>
            </w:pPr>
          </w:p>
        </w:tc>
        <w:tc>
          <w:tcPr>
            <w:tcW w:w="6409" w:type="dxa"/>
            <w:shd w:val="clear" w:color="auto" w:fill="auto"/>
          </w:tcPr>
          <w:p w:rsidR="00D44EA9" w:rsidRPr="00011E25" w:rsidRDefault="00D44EA9" w:rsidP="0073130A">
            <w:pPr>
              <w:pStyle w:val="Heading2"/>
              <w:keepNext w:val="0"/>
              <w:spacing w:before="60"/>
              <w:rPr>
                <w:bCs w:val="0"/>
                <w:iCs w:val="0"/>
                <w:sz w:val="24"/>
                <w:szCs w:val="24"/>
              </w:rPr>
            </w:pPr>
          </w:p>
        </w:tc>
        <w:tc>
          <w:tcPr>
            <w:tcW w:w="1337" w:type="dxa"/>
            <w:shd w:val="clear" w:color="auto" w:fill="auto"/>
          </w:tcPr>
          <w:p w:rsidR="00D44EA9" w:rsidRPr="00011E25" w:rsidRDefault="00D44EA9" w:rsidP="0073130A">
            <w:pPr>
              <w:rPr>
                <w:rFonts w:cs="Arial"/>
              </w:rPr>
            </w:pPr>
          </w:p>
        </w:tc>
      </w:tr>
      <w:tr w:rsidR="00011E25" w:rsidRPr="00011E25" w:rsidTr="00347DF7">
        <w:tc>
          <w:tcPr>
            <w:tcW w:w="550" w:type="dxa"/>
            <w:shd w:val="clear" w:color="auto" w:fill="auto"/>
          </w:tcPr>
          <w:p w:rsidR="00887445" w:rsidRPr="00011E25" w:rsidRDefault="00887445" w:rsidP="00887445">
            <w:pPr>
              <w:pStyle w:val="Heading2"/>
              <w:keepNext w:val="0"/>
              <w:spacing w:before="60"/>
              <w:rPr>
                <w:iCs w:val="0"/>
                <w:sz w:val="24"/>
              </w:rPr>
            </w:pPr>
          </w:p>
        </w:tc>
        <w:tc>
          <w:tcPr>
            <w:tcW w:w="6409" w:type="dxa"/>
            <w:shd w:val="clear" w:color="auto" w:fill="auto"/>
          </w:tcPr>
          <w:p w:rsidR="00887445" w:rsidRPr="00011E25" w:rsidRDefault="00887445" w:rsidP="00887445">
            <w:pPr>
              <w:pStyle w:val="Heading2"/>
              <w:keepNext w:val="0"/>
              <w:spacing w:before="60"/>
              <w:rPr>
                <w:szCs w:val="22"/>
              </w:rPr>
            </w:pPr>
            <w:r w:rsidRPr="00011E25">
              <w:rPr>
                <w:bCs w:val="0"/>
                <w:iCs w:val="0"/>
                <w:szCs w:val="22"/>
              </w:rPr>
              <w:t>Meeting Dates</w:t>
            </w:r>
          </w:p>
          <w:p w:rsidR="00B30386" w:rsidRPr="00011E25" w:rsidRDefault="00775131" w:rsidP="00775131">
            <w:pPr>
              <w:rPr>
                <w:b/>
                <w:szCs w:val="22"/>
              </w:rPr>
            </w:pPr>
            <w:r w:rsidRPr="00011E25">
              <w:rPr>
                <w:szCs w:val="22"/>
              </w:rPr>
              <w:t xml:space="preserve">Next meeting </w:t>
            </w:r>
            <w:r w:rsidR="00B30386" w:rsidRPr="00011E25">
              <w:rPr>
                <w:szCs w:val="22"/>
              </w:rPr>
              <w:t xml:space="preserve">Monday 4 April 2016, 11am-1pm at </w:t>
            </w:r>
            <w:r w:rsidR="00D8569B" w:rsidRPr="00011E25">
              <w:rPr>
                <w:szCs w:val="22"/>
              </w:rPr>
              <w:t xml:space="preserve">the </w:t>
            </w:r>
            <w:r w:rsidR="00B30386" w:rsidRPr="00011E25">
              <w:rPr>
                <w:szCs w:val="22"/>
              </w:rPr>
              <w:t>State Library</w:t>
            </w:r>
            <w:r w:rsidR="00D8569B" w:rsidRPr="00011E25">
              <w:rPr>
                <w:szCs w:val="22"/>
              </w:rPr>
              <w:t>.</w:t>
            </w:r>
          </w:p>
          <w:p w:rsidR="00887445" w:rsidRPr="00011E25" w:rsidRDefault="00887445" w:rsidP="00775131">
            <w:pPr>
              <w:rPr>
                <w:bCs/>
                <w:iCs/>
                <w:szCs w:val="22"/>
              </w:rPr>
            </w:pPr>
          </w:p>
        </w:tc>
        <w:tc>
          <w:tcPr>
            <w:tcW w:w="1337" w:type="dxa"/>
            <w:shd w:val="clear" w:color="auto" w:fill="auto"/>
          </w:tcPr>
          <w:p w:rsidR="00887445" w:rsidRPr="00011E25" w:rsidRDefault="00887445" w:rsidP="00887445">
            <w:pPr>
              <w:rPr>
                <w:rFonts w:cs="Arial"/>
              </w:rPr>
            </w:pPr>
          </w:p>
        </w:tc>
      </w:tr>
      <w:tr w:rsidR="00011E25" w:rsidRPr="00011E25" w:rsidTr="00347DF7">
        <w:tc>
          <w:tcPr>
            <w:tcW w:w="550" w:type="dxa"/>
            <w:shd w:val="clear" w:color="auto" w:fill="auto"/>
          </w:tcPr>
          <w:p w:rsidR="00C760CA" w:rsidRPr="00011E25" w:rsidRDefault="00C760CA" w:rsidP="00887445">
            <w:pPr>
              <w:pStyle w:val="Heading2"/>
              <w:keepNext w:val="0"/>
              <w:spacing w:before="60"/>
              <w:rPr>
                <w:iCs w:val="0"/>
                <w:sz w:val="24"/>
              </w:rPr>
            </w:pPr>
          </w:p>
        </w:tc>
        <w:tc>
          <w:tcPr>
            <w:tcW w:w="6409" w:type="dxa"/>
            <w:shd w:val="clear" w:color="auto" w:fill="auto"/>
          </w:tcPr>
          <w:p w:rsidR="00C760CA" w:rsidRPr="00011E25" w:rsidRDefault="00C760CA" w:rsidP="00887445">
            <w:pPr>
              <w:pStyle w:val="Heading2"/>
              <w:keepNext w:val="0"/>
              <w:spacing w:before="60"/>
              <w:rPr>
                <w:bCs w:val="0"/>
                <w:iCs w:val="0"/>
                <w:szCs w:val="22"/>
              </w:rPr>
            </w:pPr>
          </w:p>
        </w:tc>
        <w:tc>
          <w:tcPr>
            <w:tcW w:w="1337" w:type="dxa"/>
            <w:shd w:val="clear" w:color="auto" w:fill="auto"/>
          </w:tcPr>
          <w:p w:rsidR="00C760CA" w:rsidRPr="00011E25" w:rsidRDefault="00C760CA" w:rsidP="00887445">
            <w:pPr>
              <w:rPr>
                <w:rFonts w:cs="Arial"/>
              </w:rPr>
            </w:pPr>
          </w:p>
        </w:tc>
      </w:tr>
      <w:tr w:rsidR="00011E25" w:rsidRPr="00011E25" w:rsidTr="00347DF7">
        <w:tc>
          <w:tcPr>
            <w:tcW w:w="550" w:type="dxa"/>
            <w:shd w:val="clear" w:color="auto" w:fill="auto"/>
          </w:tcPr>
          <w:p w:rsidR="00887445" w:rsidRPr="00011E25" w:rsidRDefault="00887445" w:rsidP="00887445">
            <w:pPr>
              <w:pStyle w:val="Heading2"/>
              <w:keepNext w:val="0"/>
              <w:spacing w:before="60"/>
              <w:rPr>
                <w:iCs w:val="0"/>
                <w:sz w:val="24"/>
              </w:rPr>
            </w:pPr>
          </w:p>
        </w:tc>
        <w:tc>
          <w:tcPr>
            <w:tcW w:w="6409" w:type="dxa"/>
            <w:shd w:val="clear" w:color="auto" w:fill="auto"/>
          </w:tcPr>
          <w:p w:rsidR="00887445" w:rsidRPr="00011E25" w:rsidRDefault="00775131" w:rsidP="00887445">
            <w:pPr>
              <w:pStyle w:val="Heading2"/>
              <w:keepNext w:val="0"/>
              <w:spacing w:before="60"/>
              <w:rPr>
                <w:bCs w:val="0"/>
                <w:iCs w:val="0"/>
                <w:szCs w:val="22"/>
              </w:rPr>
            </w:pPr>
            <w:r w:rsidRPr="00011E25">
              <w:rPr>
                <w:bCs w:val="0"/>
                <w:iCs w:val="0"/>
                <w:szCs w:val="22"/>
              </w:rPr>
              <w:t>Other business</w:t>
            </w:r>
          </w:p>
          <w:p w:rsidR="00775131" w:rsidRPr="00011E25" w:rsidRDefault="00775131" w:rsidP="00775131">
            <w:r w:rsidRPr="00011E25">
              <w:t xml:space="preserve">There being no other business the meeting concluded at 2.40pm. </w:t>
            </w:r>
          </w:p>
        </w:tc>
        <w:tc>
          <w:tcPr>
            <w:tcW w:w="1337" w:type="dxa"/>
            <w:shd w:val="clear" w:color="auto" w:fill="auto"/>
          </w:tcPr>
          <w:p w:rsidR="00887445" w:rsidRPr="00011E25" w:rsidRDefault="00887445" w:rsidP="00887445">
            <w:pPr>
              <w:rPr>
                <w:rFonts w:cs="Arial"/>
              </w:rPr>
            </w:pPr>
          </w:p>
        </w:tc>
      </w:tr>
      <w:tr w:rsidR="00887445" w:rsidRPr="00011E25" w:rsidTr="00347DF7">
        <w:tc>
          <w:tcPr>
            <w:tcW w:w="550" w:type="dxa"/>
            <w:shd w:val="clear" w:color="auto" w:fill="auto"/>
          </w:tcPr>
          <w:p w:rsidR="00887445" w:rsidRPr="00011E25" w:rsidRDefault="00887445" w:rsidP="00887445">
            <w:pPr>
              <w:pStyle w:val="Heading2"/>
              <w:keepNext w:val="0"/>
              <w:spacing w:before="60"/>
              <w:rPr>
                <w:iCs w:val="0"/>
                <w:sz w:val="24"/>
              </w:rPr>
            </w:pPr>
          </w:p>
        </w:tc>
        <w:tc>
          <w:tcPr>
            <w:tcW w:w="6409" w:type="dxa"/>
            <w:shd w:val="clear" w:color="auto" w:fill="auto"/>
          </w:tcPr>
          <w:p w:rsidR="00887445" w:rsidRPr="00011E25" w:rsidRDefault="00887445" w:rsidP="00887445">
            <w:pPr>
              <w:rPr>
                <w:rFonts w:cs="Arial"/>
              </w:rPr>
            </w:pPr>
            <w:r w:rsidRPr="00011E25">
              <w:rPr>
                <w:rFonts w:cs="Arial"/>
              </w:rPr>
              <w:t xml:space="preserve"> </w:t>
            </w:r>
          </w:p>
        </w:tc>
        <w:tc>
          <w:tcPr>
            <w:tcW w:w="1337" w:type="dxa"/>
            <w:shd w:val="clear" w:color="auto" w:fill="auto"/>
          </w:tcPr>
          <w:p w:rsidR="00887445" w:rsidRPr="00011E25" w:rsidRDefault="00887445" w:rsidP="00887445">
            <w:pPr>
              <w:rPr>
                <w:rFonts w:cs="Arial"/>
              </w:rPr>
            </w:pPr>
          </w:p>
        </w:tc>
      </w:tr>
    </w:tbl>
    <w:p w:rsidR="00673EC9" w:rsidRPr="00011E25" w:rsidRDefault="00673EC9">
      <w:pPr>
        <w:rPr>
          <w:rFonts w:cs="Arial"/>
        </w:rPr>
      </w:pPr>
    </w:p>
    <w:sectPr w:rsidR="00673EC9" w:rsidRPr="00011E25" w:rsidSect="000A4E4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C9" w:rsidRDefault="004501C9">
      <w:r>
        <w:separator/>
      </w:r>
    </w:p>
  </w:endnote>
  <w:endnote w:type="continuationSeparator" w:id="0">
    <w:p w:rsidR="004501C9" w:rsidRDefault="004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F1" w:rsidRPr="001164F3" w:rsidRDefault="000679F1" w:rsidP="006F619A">
    <w:pPr>
      <w:pStyle w:val="Footer"/>
      <w:rPr>
        <w:rStyle w:val="Emphasis"/>
      </w:rPr>
    </w:pPr>
    <w:r w:rsidRPr="001164F3">
      <w:rPr>
        <w:rStyle w:val="Emphasis"/>
      </w:rPr>
      <w:t>[</w:t>
    </w:r>
    <w:r>
      <w:rPr>
        <w:rStyle w:val="Emphasis"/>
      </w:rPr>
      <w:t>Public Libraries Consultative Committee</w:t>
    </w:r>
    <w:r w:rsidRPr="001164F3">
      <w:rPr>
        <w:rStyle w:val="Emphasis"/>
      </w:rPr>
      <w:t xml:space="preserve"> - Minutes]</w:t>
    </w:r>
  </w:p>
  <w:p w:rsidR="000679F1" w:rsidRPr="001164F3" w:rsidRDefault="000679F1" w:rsidP="00034465">
    <w:pPr>
      <w:pStyle w:val="Footer"/>
      <w:tabs>
        <w:tab w:val="left" w:pos="1185"/>
      </w:tabs>
      <w:rPr>
        <w:rStyle w:val="Emphasis"/>
      </w:rPr>
    </w:pPr>
    <w:r w:rsidRPr="001164F3">
      <w:rPr>
        <w:rStyle w:val="Emphasis"/>
      </w:rPr>
      <w:tab/>
    </w:r>
    <w:r w:rsidR="00034465">
      <w:rPr>
        <w:rStyle w:val="Emphasis"/>
      </w:rPr>
      <w:tab/>
    </w:r>
    <w:r w:rsidRPr="001164F3">
      <w:rPr>
        <w:rStyle w:val="Emphasis"/>
      </w:rPr>
      <w:tab/>
      <w:t>[</w:t>
    </w:r>
    <w:r w:rsidRPr="001164F3">
      <w:rPr>
        <w:rStyle w:val="Emphasis"/>
      </w:rPr>
      <w:fldChar w:fldCharType="begin"/>
    </w:r>
    <w:r w:rsidRPr="001164F3">
      <w:rPr>
        <w:rStyle w:val="Emphasis"/>
      </w:rPr>
      <w:instrText xml:space="preserve"> PAGE </w:instrText>
    </w:r>
    <w:r w:rsidRPr="001164F3">
      <w:rPr>
        <w:rStyle w:val="Emphasis"/>
      </w:rPr>
      <w:fldChar w:fldCharType="separate"/>
    </w:r>
    <w:r w:rsidR="00AF21E1">
      <w:rPr>
        <w:rStyle w:val="Emphasis"/>
        <w:noProof/>
      </w:rPr>
      <w:t>9</w:t>
    </w:r>
    <w:r w:rsidRPr="001164F3">
      <w:rPr>
        <w:rStyle w:val="Emphasis"/>
      </w:rPr>
      <w:fldChar w:fldCharType="end"/>
    </w:r>
    <w:r w:rsidRPr="001164F3">
      <w:rPr>
        <w:rStyle w:val="Emphasis"/>
      </w:rPr>
      <w:t>/</w:t>
    </w:r>
    <w:r w:rsidRPr="001164F3">
      <w:rPr>
        <w:rStyle w:val="Emphasis"/>
      </w:rPr>
      <w:fldChar w:fldCharType="begin"/>
    </w:r>
    <w:r w:rsidRPr="001164F3">
      <w:rPr>
        <w:rStyle w:val="Emphasis"/>
      </w:rPr>
      <w:instrText xml:space="preserve"> NUMPAGES </w:instrText>
    </w:r>
    <w:r w:rsidRPr="001164F3">
      <w:rPr>
        <w:rStyle w:val="Emphasis"/>
      </w:rPr>
      <w:fldChar w:fldCharType="separate"/>
    </w:r>
    <w:r w:rsidR="00AF21E1">
      <w:rPr>
        <w:rStyle w:val="Emphasis"/>
        <w:noProof/>
      </w:rPr>
      <w:t>9</w:t>
    </w:r>
    <w:r w:rsidRPr="001164F3">
      <w:rPr>
        <w:rStyle w:val="Emphasis"/>
      </w:rPr>
      <w:fldChar w:fldCharType="end"/>
    </w:r>
    <w:r w:rsidRPr="001164F3">
      <w:rPr>
        <w:rStyle w:val="Emphasi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C9" w:rsidRDefault="004501C9">
      <w:r>
        <w:separator/>
      </w:r>
    </w:p>
  </w:footnote>
  <w:footnote w:type="continuationSeparator" w:id="0">
    <w:p w:rsidR="004501C9" w:rsidRDefault="0045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7E5E"/>
    <w:multiLevelType w:val="hybridMultilevel"/>
    <w:tmpl w:val="6F2C8954"/>
    <w:lvl w:ilvl="0" w:tplc="7DFA7BC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039C2"/>
    <w:multiLevelType w:val="hybridMultilevel"/>
    <w:tmpl w:val="326604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FB4DB6"/>
    <w:multiLevelType w:val="hybridMultilevel"/>
    <w:tmpl w:val="0964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014D41"/>
    <w:multiLevelType w:val="hybridMultilevel"/>
    <w:tmpl w:val="EF9E0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F5F58EE"/>
    <w:multiLevelType w:val="multilevel"/>
    <w:tmpl w:val="AC6E6D7C"/>
    <w:lvl w:ilvl="0">
      <w:start w:val="1"/>
      <w:numFmt w:val="decimal"/>
      <w:lvlText w:val="%1."/>
      <w:lvlJc w:val="left"/>
      <w:pPr>
        <w:tabs>
          <w:tab w:val="num" w:pos="360"/>
        </w:tabs>
        <w:ind w:left="360" w:hanging="360"/>
      </w:pPr>
      <w:rPr>
        <w:b/>
        <w:i w:val="0"/>
        <w:color w:val="auto"/>
        <w:sz w:val="22"/>
        <w:szCs w:val="22"/>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CE00A3"/>
    <w:multiLevelType w:val="hybridMultilevel"/>
    <w:tmpl w:val="119AA7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ED763B"/>
    <w:multiLevelType w:val="hybridMultilevel"/>
    <w:tmpl w:val="866201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5C1CFF"/>
    <w:multiLevelType w:val="hybridMultilevel"/>
    <w:tmpl w:val="178A7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6C53D53"/>
    <w:multiLevelType w:val="hybridMultilevel"/>
    <w:tmpl w:val="97344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2C59B3"/>
    <w:multiLevelType w:val="hybridMultilevel"/>
    <w:tmpl w:val="DBB09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16DED"/>
    <w:multiLevelType w:val="hybridMultilevel"/>
    <w:tmpl w:val="CBF89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E64479"/>
    <w:multiLevelType w:val="hybridMultilevel"/>
    <w:tmpl w:val="4112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6206CB"/>
    <w:multiLevelType w:val="hybridMultilevel"/>
    <w:tmpl w:val="72FA6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C12143"/>
    <w:multiLevelType w:val="hybridMultilevel"/>
    <w:tmpl w:val="61323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7810AA6"/>
    <w:multiLevelType w:val="hybridMultilevel"/>
    <w:tmpl w:val="81A87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7A2336"/>
    <w:multiLevelType w:val="hybridMultilevel"/>
    <w:tmpl w:val="EE9E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E5146B"/>
    <w:multiLevelType w:val="hybridMultilevel"/>
    <w:tmpl w:val="28862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F6741C"/>
    <w:multiLevelType w:val="hybridMultilevel"/>
    <w:tmpl w:val="BE288CBE"/>
    <w:lvl w:ilvl="0" w:tplc="011CF50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3D6740"/>
    <w:multiLevelType w:val="hybridMultilevel"/>
    <w:tmpl w:val="981A9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FF15FE"/>
    <w:multiLevelType w:val="hybridMultilevel"/>
    <w:tmpl w:val="D48C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1A5209"/>
    <w:multiLevelType w:val="hybridMultilevel"/>
    <w:tmpl w:val="E892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243C77"/>
    <w:multiLevelType w:val="hybridMultilevel"/>
    <w:tmpl w:val="AC525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BDF606E"/>
    <w:multiLevelType w:val="hybridMultilevel"/>
    <w:tmpl w:val="4C327A2A"/>
    <w:lvl w:ilvl="0" w:tplc="7DFA7BC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234802"/>
    <w:multiLevelType w:val="hybridMultilevel"/>
    <w:tmpl w:val="6CEE6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C903E6"/>
    <w:multiLevelType w:val="hybridMultilevel"/>
    <w:tmpl w:val="6B8C50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4515E9F"/>
    <w:multiLevelType w:val="hybridMultilevel"/>
    <w:tmpl w:val="EB5842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BA7282"/>
    <w:multiLevelType w:val="hybridMultilevel"/>
    <w:tmpl w:val="527491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99D2D1F"/>
    <w:multiLevelType w:val="hybridMultilevel"/>
    <w:tmpl w:val="8EBC5FC6"/>
    <w:lvl w:ilvl="0" w:tplc="7DFA7BC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6E3C16"/>
    <w:multiLevelType w:val="hybridMultilevel"/>
    <w:tmpl w:val="AE5ECC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CDB0977"/>
    <w:multiLevelType w:val="hybridMultilevel"/>
    <w:tmpl w:val="B8C039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F0F7E02"/>
    <w:multiLevelType w:val="hybridMultilevel"/>
    <w:tmpl w:val="E480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BF67FA"/>
    <w:multiLevelType w:val="hybridMultilevel"/>
    <w:tmpl w:val="D950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786F0F"/>
    <w:multiLevelType w:val="hybridMultilevel"/>
    <w:tmpl w:val="1DC803A6"/>
    <w:lvl w:ilvl="0" w:tplc="364A355C">
      <w:start w:val="1"/>
      <w:numFmt w:val="decimal"/>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902EAE"/>
    <w:multiLevelType w:val="hybridMultilevel"/>
    <w:tmpl w:val="0B9A4E6E"/>
    <w:lvl w:ilvl="0" w:tplc="7DFA7BC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FB2F22"/>
    <w:multiLevelType w:val="hybridMultilevel"/>
    <w:tmpl w:val="C704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5B7CE3"/>
    <w:multiLevelType w:val="hybridMultilevel"/>
    <w:tmpl w:val="6E3C818C"/>
    <w:lvl w:ilvl="0" w:tplc="70F6315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13F5D8E"/>
    <w:multiLevelType w:val="hybridMultilevel"/>
    <w:tmpl w:val="9AE83704"/>
    <w:lvl w:ilvl="0" w:tplc="7DFA7BC6">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A47979"/>
    <w:multiLevelType w:val="hybridMultilevel"/>
    <w:tmpl w:val="D1702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7063FA"/>
    <w:multiLevelType w:val="hybridMultilevel"/>
    <w:tmpl w:val="A09894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EE37BA"/>
    <w:multiLevelType w:val="multilevel"/>
    <w:tmpl w:val="3D16EA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78866CF6"/>
    <w:multiLevelType w:val="hybridMultilevel"/>
    <w:tmpl w:val="17AA5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8F820F7"/>
    <w:multiLevelType w:val="hybridMultilevel"/>
    <w:tmpl w:val="ACA2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53603B"/>
    <w:multiLevelType w:val="hybridMultilevel"/>
    <w:tmpl w:val="7214FB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C9B2880"/>
    <w:multiLevelType w:val="hybridMultilevel"/>
    <w:tmpl w:val="D4B4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3F6E3A"/>
    <w:multiLevelType w:val="hybridMultilevel"/>
    <w:tmpl w:val="CC34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6"/>
  </w:num>
  <w:num w:numId="4">
    <w:abstractNumId w:val="27"/>
  </w:num>
  <w:num w:numId="5">
    <w:abstractNumId w:val="12"/>
  </w:num>
  <w:num w:numId="6">
    <w:abstractNumId w:val="9"/>
  </w:num>
  <w:num w:numId="7">
    <w:abstractNumId w:val="5"/>
  </w:num>
  <w:num w:numId="8">
    <w:abstractNumId w:val="32"/>
  </w:num>
  <w:num w:numId="9">
    <w:abstractNumId w:val="13"/>
  </w:num>
  <w:num w:numId="10">
    <w:abstractNumId w:val="16"/>
  </w:num>
  <w:num w:numId="11">
    <w:abstractNumId w:val="31"/>
  </w:num>
  <w:num w:numId="12">
    <w:abstractNumId w:val="35"/>
  </w:num>
  <w:num w:numId="13">
    <w:abstractNumId w:val="20"/>
  </w:num>
  <w:num w:numId="14">
    <w:abstractNumId w:val="7"/>
  </w:num>
  <w:num w:numId="15">
    <w:abstractNumId w:val="15"/>
  </w:num>
  <w:num w:numId="16">
    <w:abstractNumId w:val="19"/>
  </w:num>
  <w:num w:numId="17">
    <w:abstractNumId w:val="14"/>
  </w:num>
  <w:num w:numId="18">
    <w:abstractNumId w:val="40"/>
  </w:num>
  <w:num w:numId="19">
    <w:abstractNumId w:val="38"/>
  </w:num>
  <w:num w:numId="20">
    <w:abstractNumId w:val="42"/>
  </w:num>
  <w:num w:numId="21">
    <w:abstractNumId w:val="44"/>
  </w:num>
  <w:num w:numId="22">
    <w:abstractNumId w:val="6"/>
  </w:num>
  <w:num w:numId="23">
    <w:abstractNumId w:val="45"/>
  </w:num>
  <w:num w:numId="24">
    <w:abstractNumId w:val="18"/>
  </w:num>
  <w:num w:numId="25">
    <w:abstractNumId w:val="43"/>
  </w:num>
  <w:num w:numId="26">
    <w:abstractNumId w:val="8"/>
  </w:num>
  <w:num w:numId="27">
    <w:abstractNumId w:val="39"/>
  </w:num>
  <w:num w:numId="28">
    <w:abstractNumId w:val="29"/>
  </w:num>
  <w:num w:numId="29">
    <w:abstractNumId w:val="33"/>
  </w:num>
  <w:num w:numId="30">
    <w:abstractNumId w:val="22"/>
  </w:num>
  <w:num w:numId="31">
    <w:abstractNumId w:val="41"/>
  </w:num>
  <w:num w:numId="32">
    <w:abstractNumId w:val="36"/>
  </w:num>
  <w:num w:numId="33">
    <w:abstractNumId w:val="10"/>
  </w:num>
  <w:num w:numId="34">
    <w:abstractNumId w:val="17"/>
  </w:num>
  <w:num w:numId="35">
    <w:abstractNumId w:val="25"/>
  </w:num>
  <w:num w:numId="36">
    <w:abstractNumId w:val="1"/>
  </w:num>
  <w:num w:numId="37">
    <w:abstractNumId w:val="3"/>
  </w:num>
  <w:num w:numId="38">
    <w:abstractNumId w:val="0"/>
  </w:num>
  <w:num w:numId="39">
    <w:abstractNumId w:val="34"/>
  </w:num>
  <w:num w:numId="40">
    <w:abstractNumId w:val="23"/>
  </w:num>
  <w:num w:numId="41">
    <w:abstractNumId w:val="37"/>
  </w:num>
  <w:num w:numId="42">
    <w:abstractNumId w:val="28"/>
  </w:num>
  <w:num w:numId="43">
    <w:abstractNumId w:val="21"/>
  </w:num>
  <w:num w:numId="44">
    <w:abstractNumId w:val="30"/>
  </w:num>
  <w:num w:numId="45">
    <w:abstractNumId w:val="11"/>
  </w:num>
  <w:num w:numId="4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E5"/>
    <w:rsid w:val="000052CC"/>
    <w:rsid w:val="00005A40"/>
    <w:rsid w:val="00011E25"/>
    <w:rsid w:val="00025C6A"/>
    <w:rsid w:val="00027682"/>
    <w:rsid w:val="000319D3"/>
    <w:rsid w:val="00034465"/>
    <w:rsid w:val="00036806"/>
    <w:rsid w:val="000461FD"/>
    <w:rsid w:val="00046761"/>
    <w:rsid w:val="000543BD"/>
    <w:rsid w:val="00060DE2"/>
    <w:rsid w:val="00062DEA"/>
    <w:rsid w:val="000632DA"/>
    <w:rsid w:val="000679F1"/>
    <w:rsid w:val="00081BE0"/>
    <w:rsid w:val="000840FC"/>
    <w:rsid w:val="00085D3F"/>
    <w:rsid w:val="00086807"/>
    <w:rsid w:val="000A4E25"/>
    <w:rsid w:val="000A4E4D"/>
    <w:rsid w:val="000B6C1E"/>
    <w:rsid w:val="000C0EF9"/>
    <w:rsid w:val="000C557E"/>
    <w:rsid w:val="000D18FB"/>
    <w:rsid w:val="000D3558"/>
    <w:rsid w:val="000D4555"/>
    <w:rsid w:val="000E2DF9"/>
    <w:rsid w:val="000E6929"/>
    <w:rsid w:val="000F0E43"/>
    <w:rsid w:val="000F223B"/>
    <w:rsid w:val="00114597"/>
    <w:rsid w:val="0011460C"/>
    <w:rsid w:val="001164F3"/>
    <w:rsid w:val="00120D50"/>
    <w:rsid w:val="001256BC"/>
    <w:rsid w:val="00144B29"/>
    <w:rsid w:val="001643D6"/>
    <w:rsid w:val="00184C77"/>
    <w:rsid w:val="00193F36"/>
    <w:rsid w:val="001A0C15"/>
    <w:rsid w:val="001B0614"/>
    <w:rsid w:val="001B2104"/>
    <w:rsid w:val="001C6543"/>
    <w:rsid w:val="001D091C"/>
    <w:rsid w:val="001D2A86"/>
    <w:rsid w:val="001D7702"/>
    <w:rsid w:val="001E4DC0"/>
    <w:rsid w:val="001E7E7A"/>
    <w:rsid w:val="00200665"/>
    <w:rsid w:val="002053AE"/>
    <w:rsid w:val="00216BD5"/>
    <w:rsid w:val="00225E0D"/>
    <w:rsid w:val="00237145"/>
    <w:rsid w:val="00237D73"/>
    <w:rsid w:val="00240876"/>
    <w:rsid w:val="0024429E"/>
    <w:rsid w:val="00245CC2"/>
    <w:rsid w:val="00250E55"/>
    <w:rsid w:val="0025510F"/>
    <w:rsid w:val="0026598D"/>
    <w:rsid w:val="002678E4"/>
    <w:rsid w:val="00267BCC"/>
    <w:rsid w:val="002945AD"/>
    <w:rsid w:val="002A14C4"/>
    <w:rsid w:val="002A2D75"/>
    <w:rsid w:val="002A2F0B"/>
    <w:rsid w:val="002B7806"/>
    <w:rsid w:val="002C4AC6"/>
    <w:rsid w:val="002E11EE"/>
    <w:rsid w:val="002E5136"/>
    <w:rsid w:val="002F5A3A"/>
    <w:rsid w:val="0032132A"/>
    <w:rsid w:val="00333B47"/>
    <w:rsid w:val="0034158A"/>
    <w:rsid w:val="0034198D"/>
    <w:rsid w:val="003430C6"/>
    <w:rsid w:val="00347DF7"/>
    <w:rsid w:val="003733C4"/>
    <w:rsid w:val="003746E4"/>
    <w:rsid w:val="00381B40"/>
    <w:rsid w:val="00396D48"/>
    <w:rsid w:val="003A2AFA"/>
    <w:rsid w:val="003A3F32"/>
    <w:rsid w:val="003B5933"/>
    <w:rsid w:val="003C5ED4"/>
    <w:rsid w:val="003E2C85"/>
    <w:rsid w:val="003F3FD8"/>
    <w:rsid w:val="004022C1"/>
    <w:rsid w:val="004142D4"/>
    <w:rsid w:val="00420BE2"/>
    <w:rsid w:val="00432F8E"/>
    <w:rsid w:val="004501C9"/>
    <w:rsid w:val="00451B36"/>
    <w:rsid w:val="004677B9"/>
    <w:rsid w:val="0047083B"/>
    <w:rsid w:val="00472A22"/>
    <w:rsid w:val="00483960"/>
    <w:rsid w:val="00494880"/>
    <w:rsid w:val="004A2E57"/>
    <w:rsid w:val="004A3FDF"/>
    <w:rsid w:val="004A4329"/>
    <w:rsid w:val="004B038A"/>
    <w:rsid w:val="004B6E43"/>
    <w:rsid w:val="004C17DC"/>
    <w:rsid w:val="004D3542"/>
    <w:rsid w:val="004E38A1"/>
    <w:rsid w:val="004F0C0F"/>
    <w:rsid w:val="004F20E9"/>
    <w:rsid w:val="00513995"/>
    <w:rsid w:val="00517A2F"/>
    <w:rsid w:val="00527C55"/>
    <w:rsid w:val="005341C4"/>
    <w:rsid w:val="0054193D"/>
    <w:rsid w:val="00545830"/>
    <w:rsid w:val="005762B1"/>
    <w:rsid w:val="005844AB"/>
    <w:rsid w:val="00585FF0"/>
    <w:rsid w:val="005866CC"/>
    <w:rsid w:val="005A038F"/>
    <w:rsid w:val="005A25C2"/>
    <w:rsid w:val="005A7B60"/>
    <w:rsid w:val="005B1980"/>
    <w:rsid w:val="005B48BC"/>
    <w:rsid w:val="005C25BF"/>
    <w:rsid w:val="005D5C7D"/>
    <w:rsid w:val="005D6942"/>
    <w:rsid w:val="005E5D86"/>
    <w:rsid w:val="005E6B76"/>
    <w:rsid w:val="005F3DEA"/>
    <w:rsid w:val="006014A8"/>
    <w:rsid w:val="00612F40"/>
    <w:rsid w:val="00613486"/>
    <w:rsid w:val="0061369E"/>
    <w:rsid w:val="0062159A"/>
    <w:rsid w:val="00622EF0"/>
    <w:rsid w:val="00623A53"/>
    <w:rsid w:val="006440D5"/>
    <w:rsid w:val="0064769F"/>
    <w:rsid w:val="0065194A"/>
    <w:rsid w:val="006535D8"/>
    <w:rsid w:val="006629B4"/>
    <w:rsid w:val="00673EC9"/>
    <w:rsid w:val="00675FDE"/>
    <w:rsid w:val="006B0CCD"/>
    <w:rsid w:val="006B38A4"/>
    <w:rsid w:val="006B53D0"/>
    <w:rsid w:val="006C1FE2"/>
    <w:rsid w:val="006C3D80"/>
    <w:rsid w:val="006D413E"/>
    <w:rsid w:val="006D5391"/>
    <w:rsid w:val="006F4A98"/>
    <w:rsid w:val="006F619A"/>
    <w:rsid w:val="00711B67"/>
    <w:rsid w:val="00716712"/>
    <w:rsid w:val="00726E17"/>
    <w:rsid w:val="0073130A"/>
    <w:rsid w:val="0073209F"/>
    <w:rsid w:val="0074284C"/>
    <w:rsid w:val="00745216"/>
    <w:rsid w:val="007466A4"/>
    <w:rsid w:val="00751880"/>
    <w:rsid w:val="00757E7B"/>
    <w:rsid w:val="00762D68"/>
    <w:rsid w:val="00763AB0"/>
    <w:rsid w:val="00770CC6"/>
    <w:rsid w:val="00775131"/>
    <w:rsid w:val="0077541D"/>
    <w:rsid w:val="007A31BE"/>
    <w:rsid w:val="007A576A"/>
    <w:rsid w:val="007C28CF"/>
    <w:rsid w:val="007D021F"/>
    <w:rsid w:val="007F3799"/>
    <w:rsid w:val="00802E96"/>
    <w:rsid w:val="00803633"/>
    <w:rsid w:val="00807DE5"/>
    <w:rsid w:val="00815293"/>
    <w:rsid w:val="00815740"/>
    <w:rsid w:val="008167C5"/>
    <w:rsid w:val="0082228B"/>
    <w:rsid w:val="0082268A"/>
    <w:rsid w:val="00824A79"/>
    <w:rsid w:val="00824B63"/>
    <w:rsid w:val="00833B2B"/>
    <w:rsid w:val="0085380C"/>
    <w:rsid w:val="008568D1"/>
    <w:rsid w:val="00862AB7"/>
    <w:rsid w:val="00874BE3"/>
    <w:rsid w:val="00887445"/>
    <w:rsid w:val="00890520"/>
    <w:rsid w:val="00891685"/>
    <w:rsid w:val="0089567A"/>
    <w:rsid w:val="00896A2B"/>
    <w:rsid w:val="008A165D"/>
    <w:rsid w:val="008C2AAB"/>
    <w:rsid w:val="008D411E"/>
    <w:rsid w:val="008D5E0C"/>
    <w:rsid w:val="008F3C22"/>
    <w:rsid w:val="00901C0F"/>
    <w:rsid w:val="00902EB5"/>
    <w:rsid w:val="009071C5"/>
    <w:rsid w:val="009160E4"/>
    <w:rsid w:val="00926A24"/>
    <w:rsid w:val="00937E0D"/>
    <w:rsid w:val="00940731"/>
    <w:rsid w:val="00945F70"/>
    <w:rsid w:val="00954008"/>
    <w:rsid w:val="00957598"/>
    <w:rsid w:val="00984058"/>
    <w:rsid w:val="00987D95"/>
    <w:rsid w:val="009958B6"/>
    <w:rsid w:val="009A48D7"/>
    <w:rsid w:val="009B30C6"/>
    <w:rsid w:val="009B391B"/>
    <w:rsid w:val="009C5FDD"/>
    <w:rsid w:val="009D1469"/>
    <w:rsid w:val="009E4BC3"/>
    <w:rsid w:val="009E7B05"/>
    <w:rsid w:val="009F44F0"/>
    <w:rsid w:val="00A013F8"/>
    <w:rsid w:val="00A02989"/>
    <w:rsid w:val="00A065A5"/>
    <w:rsid w:val="00A230C5"/>
    <w:rsid w:val="00A31AE2"/>
    <w:rsid w:val="00A40F65"/>
    <w:rsid w:val="00A41830"/>
    <w:rsid w:val="00A41EA5"/>
    <w:rsid w:val="00A42C9C"/>
    <w:rsid w:val="00A45E6F"/>
    <w:rsid w:val="00A53341"/>
    <w:rsid w:val="00A5591D"/>
    <w:rsid w:val="00A84841"/>
    <w:rsid w:val="00A85931"/>
    <w:rsid w:val="00A96731"/>
    <w:rsid w:val="00AA3EF4"/>
    <w:rsid w:val="00AA49D0"/>
    <w:rsid w:val="00AA7056"/>
    <w:rsid w:val="00AA75B8"/>
    <w:rsid w:val="00AA7EF6"/>
    <w:rsid w:val="00AB3C31"/>
    <w:rsid w:val="00AC54DB"/>
    <w:rsid w:val="00AF13C9"/>
    <w:rsid w:val="00AF21E1"/>
    <w:rsid w:val="00AF35C0"/>
    <w:rsid w:val="00B06837"/>
    <w:rsid w:val="00B06F5F"/>
    <w:rsid w:val="00B07309"/>
    <w:rsid w:val="00B30386"/>
    <w:rsid w:val="00B30800"/>
    <w:rsid w:val="00B40BB5"/>
    <w:rsid w:val="00B46618"/>
    <w:rsid w:val="00B51909"/>
    <w:rsid w:val="00B53F99"/>
    <w:rsid w:val="00B64761"/>
    <w:rsid w:val="00B6777E"/>
    <w:rsid w:val="00B7457B"/>
    <w:rsid w:val="00B758DC"/>
    <w:rsid w:val="00B76247"/>
    <w:rsid w:val="00B77275"/>
    <w:rsid w:val="00B8339F"/>
    <w:rsid w:val="00B873D5"/>
    <w:rsid w:val="00B9756F"/>
    <w:rsid w:val="00BB5D53"/>
    <w:rsid w:val="00BC7494"/>
    <w:rsid w:val="00BD015B"/>
    <w:rsid w:val="00BD0D1D"/>
    <w:rsid w:val="00BD5462"/>
    <w:rsid w:val="00BD5D48"/>
    <w:rsid w:val="00BE6DF1"/>
    <w:rsid w:val="00BE7FAE"/>
    <w:rsid w:val="00C00E5F"/>
    <w:rsid w:val="00C249DF"/>
    <w:rsid w:val="00C35B49"/>
    <w:rsid w:val="00C3738C"/>
    <w:rsid w:val="00C3799A"/>
    <w:rsid w:val="00C464E8"/>
    <w:rsid w:val="00C60F3E"/>
    <w:rsid w:val="00C760CA"/>
    <w:rsid w:val="00C85C41"/>
    <w:rsid w:val="00C91864"/>
    <w:rsid w:val="00C97F2E"/>
    <w:rsid w:val="00CA1945"/>
    <w:rsid w:val="00CA27D9"/>
    <w:rsid w:val="00CB1A76"/>
    <w:rsid w:val="00CB1C39"/>
    <w:rsid w:val="00CB2F94"/>
    <w:rsid w:val="00CB590F"/>
    <w:rsid w:val="00CC7886"/>
    <w:rsid w:val="00CD4561"/>
    <w:rsid w:val="00CD54FA"/>
    <w:rsid w:val="00CF6DD3"/>
    <w:rsid w:val="00D022C1"/>
    <w:rsid w:val="00D070BA"/>
    <w:rsid w:val="00D21423"/>
    <w:rsid w:val="00D228A3"/>
    <w:rsid w:val="00D2579A"/>
    <w:rsid w:val="00D34201"/>
    <w:rsid w:val="00D37406"/>
    <w:rsid w:val="00D4390E"/>
    <w:rsid w:val="00D44466"/>
    <w:rsid w:val="00D44EA9"/>
    <w:rsid w:val="00D52DB2"/>
    <w:rsid w:val="00D54489"/>
    <w:rsid w:val="00D646F9"/>
    <w:rsid w:val="00D665D7"/>
    <w:rsid w:val="00D741C9"/>
    <w:rsid w:val="00D8569B"/>
    <w:rsid w:val="00D877CC"/>
    <w:rsid w:val="00D93105"/>
    <w:rsid w:val="00DA39B3"/>
    <w:rsid w:val="00DB51C3"/>
    <w:rsid w:val="00DC2E6A"/>
    <w:rsid w:val="00DC4B02"/>
    <w:rsid w:val="00DC65A1"/>
    <w:rsid w:val="00DE024F"/>
    <w:rsid w:val="00DF0081"/>
    <w:rsid w:val="00E017F6"/>
    <w:rsid w:val="00E14523"/>
    <w:rsid w:val="00E22614"/>
    <w:rsid w:val="00E23382"/>
    <w:rsid w:val="00E25484"/>
    <w:rsid w:val="00E50643"/>
    <w:rsid w:val="00E5194D"/>
    <w:rsid w:val="00E55FFE"/>
    <w:rsid w:val="00E77905"/>
    <w:rsid w:val="00E8429B"/>
    <w:rsid w:val="00E8701E"/>
    <w:rsid w:val="00EA1365"/>
    <w:rsid w:val="00EA307E"/>
    <w:rsid w:val="00EB0DC9"/>
    <w:rsid w:val="00EB0E51"/>
    <w:rsid w:val="00EC09C5"/>
    <w:rsid w:val="00ED5C9D"/>
    <w:rsid w:val="00EE7CB3"/>
    <w:rsid w:val="00EF0C15"/>
    <w:rsid w:val="00EF26B3"/>
    <w:rsid w:val="00EF2FFF"/>
    <w:rsid w:val="00F01BDC"/>
    <w:rsid w:val="00F03D48"/>
    <w:rsid w:val="00F06279"/>
    <w:rsid w:val="00F117E5"/>
    <w:rsid w:val="00F21FFC"/>
    <w:rsid w:val="00F24075"/>
    <w:rsid w:val="00F32288"/>
    <w:rsid w:val="00F35718"/>
    <w:rsid w:val="00F37284"/>
    <w:rsid w:val="00F56ECB"/>
    <w:rsid w:val="00F6190B"/>
    <w:rsid w:val="00F651D4"/>
    <w:rsid w:val="00F708D1"/>
    <w:rsid w:val="00F70C8F"/>
    <w:rsid w:val="00F75C9C"/>
    <w:rsid w:val="00F8068B"/>
    <w:rsid w:val="00F815DD"/>
    <w:rsid w:val="00F85A25"/>
    <w:rsid w:val="00FA25DB"/>
    <w:rsid w:val="00FB2CD1"/>
    <w:rsid w:val="00FB3A90"/>
    <w:rsid w:val="00FC5F60"/>
    <w:rsid w:val="00FD0E1C"/>
    <w:rsid w:val="00FD4623"/>
    <w:rsid w:val="00FD4B07"/>
    <w:rsid w:val="00FE47C6"/>
    <w:rsid w:val="00FE607C"/>
    <w:rsid w:val="00FF1CA2"/>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F174124F-85B1-4545-985C-4F289155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F3"/>
    <w:rPr>
      <w:rFonts w:ascii="Arial" w:hAnsi="Arial"/>
      <w:sz w:val="22"/>
      <w:szCs w:val="24"/>
      <w:lang w:val="en-AU" w:eastAsia="en-AU"/>
    </w:rPr>
  </w:style>
  <w:style w:type="paragraph" w:styleId="Heading1">
    <w:name w:val="heading 1"/>
    <w:basedOn w:val="Normal"/>
    <w:next w:val="Normal"/>
    <w:link w:val="Heading1Char"/>
    <w:qFormat/>
    <w:rsid w:val="001164F3"/>
    <w:pPr>
      <w:spacing w:line="360" w:lineRule="auto"/>
      <w:outlineLvl w:val="0"/>
    </w:pPr>
    <w:rPr>
      <w:b/>
      <w:sz w:val="28"/>
    </w:rPr>
  </w:style>
  <w:style w:type="paragraph" w:styleId="Heading2">
    <w:name w:val="heading 2"/>
    <w:basedOn w:val="Normal"/>
    <w:next w:val="Normal"/>
    <w:qFormat/>
    <w:rsid w:val="001164F3"/>
    <w:pPr>
      <w:keepNext/>
      <w:spacing w:before="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90F"/>
    <w:pPr>
      <w:tabs>
        <w:tab w:val="center" w:pos="4153"/>
        <w:tab w:val="right" w:pos="8306"/>
      </w:tabs>
    </w:pPr>
  </w:style>
  <w:style w:type="paragraph" w:styleId="Footer">
    <w:name w:val="footer"/>
    <w:basedOn w:val="Normal"/>
    <w:rsid w:val="00CB590F"/>
    <w:pPr>
      <w:tabs>
        <w:tab w:val="center" w:pos="4153"/>
        <w:tab w:val="right" w:pos="8306"/>
      </w:tabs>
    </w:pPr>
  </w:style>
  <w:style w:type="table" w:styleId="TableGrid">
    <w:name w:val="Table Grid"/>
    <w:basedOn w:val="TableNormal"/>
    <w:uiPriority w:val="39"/>
    <w:rsid w:val="005D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64F3"/>
    <w:rPr>
      <w:rFonts w:ascii="Arial" w:hAnsi="Arial"/>
      <w:b/>
      <w:sz w:val="28"/>
      <w:szCs w:val="24"/>
      <w:lang w:val="en-AU" w:eastAsia="en-AU"/>
    </w:rPr>
  </w:style>
  <w:style w:type="character" w:styleId="PageNumber">
    <w:name w:val="page number"/>
    <w:basedOn w:val="DefaultParagraphFont"/>
    <w:rsid w:val="006F619A"/>
  </w:style>
  <w:style w:type="paragraph" w:styleId="Subtitle">
    <w:name w:val="Subtitle"/>
    <w:basedOn w:val="Normal"/>
    <w:next w:val="Normal"/>
    <w:link w:val="SubtitleChar"/>
    <w:uiPriority w:val="11"/>
    <w:qFormat/>
    <w:rsid w:val="001164F3"/>
    <w:pPr>
      <w:spacing w:after="60"/>
      <w:outlineLvl w:val="1"/>
    </w:pPr>
    <w:rPr>
      <w:rFonts w:eastAsiaTheme="majorEastAsia" w:cstheme="majorBidi"/>
      <w:sz w:val="16"/>
    </w:rPr>
  </w:style>
  <w:style w:type="character" w:customStyle="1" w:styleId="SubtitleChar">
    <w:name w:val="Subtitle Char"/>
    <w:basedOn w:val="DefaultParagraphFont"/>
    <w:link w:val="Subtitle"/>
    <w:uiPriority w:val="11"/>
    <w:rsid w:val="001164F3"/>
    <w:rPr>
      <w:rFonts w:ascii="Arial" w:eastAsiaTheme="majorEastAsia" w:hAnsi="Arial" w:cstheme="majorBidi"/>
      <w:sz w:val="16"/>
      <w:szCs w:val="24"/>
      <w:lang w:val="en-AU" w:eastAsia="en-AU"/>
    </w:rPr>
  </w:style>
  <w:style w:type="character" w:styleId="Emphasis">
    <w:name w:val="Emphasis"/>
    <w:basedOn w:val="DefaultParagraphFont"/>
    <w:uiPriority w:val="20"/>
    <w:qFormat/>
    <w:rsid w:val="001164F3"/>
    <w:rPr>
      <w:rFonts w:ascii="Arial" w:hAnsi="Arial"/>
      <w:iCs/>
      <w:sz w:val="12"/>
    </w:rPr>
  </w:style>
  <w:style w:type="character" w:styleId="Strong">
    <w:name w:val="Strong"/>
    <w:basedOn w:val="DefaultParagraphFont"/>
    <w:uiPriority w:val="22"/>
    <w:qFormat/>
    <w:rsid w:val="00803633"/>
    <w:rPr>
      <w:b/>
      <w:bCs/>
    </w:rPr>
  </w:style>
  <w:style w:type="paragraph" w:styleId="NormalWeb">
    <w:name w:val="Normal (Web)"/>
    <w:basedOn w:val="Normal"/>
    <w:rsid w:val="00EC09C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37E0D"/>
    <w:pPr>
      <w:ind w:left="720"/>
      <w:contextualSpacing/>
    </w:pPr>
    <w:rPr>
      <w:sz w:val="24"/>
    </w:rPr>
  </w:style>
  <w:style w:type="paragraph" w:styleId="BalloonText">
    <w:name w:val="Balloon Text"/>
    <w:basedOn w:val="Normal"/>
    <w:link w:val="BalloonTextChar"/>
    <w:uiPriority w:val="99"/>
    <w:semiHidden/>
    <w:unhideWhenUsed/>
    <w:rsid w:val="00494880"/>
    <w:rPr>
      <w:rFonts w:ascii="Tahoma" w:hAnsi="Tahoma" w:cs="Tahoma"/>
      <w:sz w:val="16"/>
      <w:szCs w:val="16"/>
    </w:rPr>
  </w:style>
  <w:style w:type="character" w:customStyle="1" w:styleId="BalloonTextChar">
    <w:name w:val="Balloon Text Char"/>
    <w:basedOn w:val="DefaultParagraphFont"/>
    <w:link w:val="BalloonText"/>
    <w:uiPriority w:val="99"/>
    <w:semiHidden/>
    <w:rsid w:val="00494880"/>
    <w:rPr>
      <w:rFonts w:ascii="Tahoma" w:hAnsi="Tahoma" w:cs="Tahoma"/>
      <w:sz w:val="16"/>
      <w:szCs w:val="16"/>
      <w:lang w:val="en-AU" w:eastAsia="en-AU"/>
    </w:rPr>
  </w:style>
  <w:style w:type="paragraph" w:styleId="FootnoteText">
    <w:name w:val="footnote text"/>
    <w:basedOn w:val="Normal"/>
    <w:link w:val="FootnoteTextChar"/>
    <w:uiPriority w:val="99"/>
    <w:semiHidden/>
    <w:unhideWhenUsed/>
    <w:rsid w:val="009B30C6"/>
    <w:pPr>
      <w:overflowPunct w:val="0"/>
      <w:autoSpaceDE w:val="0"/>
      <w:autoSpaceDN w:val="0"/>
      <w:adjustRightInd w:val="0"/>
      <w:textAlignment w:val="baseline"/>
    </w:pPr>
    <w:rPr>
      <w:sz w:val="20"/>
      <w:szCs w:val="20"/>
      <w:lang w:val="en-US"/>
    </w:rPr>
  </w:style>
  <w:style w:type="character" w:customStyle="1" w:styleId="FootnoteTextChar">
    <w:name w:val="Footnote Text Char"/>
    <w:basedOn w:val="DefaultParagraphFont"/>
    <w:link w:val="FootnoteText"/>
    <w:uiPriority w:val="99"/>
    <w:semiHidden/>
    <w:rsid w:val="009B30C6"/>
    <w:rPr>
      <w:rFonts w:ascii="Arial" w:hAnsi="Arial"/>
      <w:lang w:eastAsia="en-AU"/>
    </w:rPr>
  </w:style>
  <w:style w:type="character" w:styleId="FootnoteReference">
    <w:name w:val="footnote reference"/>
    <w:basedOn w:val="DefaultParagraphFont"/>
    <w:uiPriority w:val="99"/>
    <w:semiHidden/>
    <w:unhideWhenUsed/>
    <w:rsid w:val="009B30C6"/>
    <w:rPr>
      <w:vertAlign w:val="superscript"/>
    </w:rPr>
  </w:style>
  <w:style w:type="character" w:customStyle="1" w:styleId="apple-converted-space">
    <w:name w:val="apple-converted-space"/>
    <w:basedOn w:val="DefaultParagraphFont"/>
    <w:rsid w:val="00D37406"/>
  </w:style>
  <w:style w:type="paragraph" w:customStyle="1" w:styleId="StateLibraryBodyText">
    <w:name w:val="State Library Body Text"/>
    <w:basedOn w:val="Normal"/>
    <w:qFormat/>
    <w:rsid w:val="004D3542"/>
    <w:pPr>
      <w:spacing w:before="40" w:after="40"/>
    </w:pPr>
    <w:rPr>
      <w:rFonts w:eastAsia="Calibri" w:cs="Arial"/>
      <w:bCs/>
      <w:sz w:val="18"/>
      <w:szCs w:val="18"/>
      <w:lang w:eastAsia="en-US"/>
    </w:rPr>
  </w:style>
  <w:style w:type="character" w:styleId="Hyperlink">
    <w:name w:val="Hyperlink"/>
    <w:basedOn w:val="DefaultParagraphFont"/>
    <w:uiPriority w:val="99"/>
    <w:unhideWhenUsed/>
    <w:rsid w:val="008D411E"/>
    <w:rPr>
      <w:color w:val="0000FF" w:themeColor="hyperlink"/>
      <w:u w:val="single"/>
    </w:rPr>
  </w:style>
  <w:style w:type="paragraph" w:styleId="NoSpacing">
    <w:name w:val="No Spacing"/>
    <w:uiPriority w:val="1"/>
    <w:qFormat/>
    <w:rsid w:val="00EF0C15"/>
    <w:rPr>
      <w:rFonts w:ascii="Calibri" w:eastAsia="Calibri" w:hAnsi="Calibri" w:cs="Calibri"/>
      <w:color w:val="000000"/>
      <w:sz w:val="22"/>
      <w:szCs w:val="22"/>
      <w:lang w:val="en-AU" w:eastAsia="en-AU"/>
    </w:rPr>
  </w:style>
  <w:style w:type="table" w:styleId="GridTable2-Accent6">
    <w:name w:val="Grid Table 2 Accent 6"/>
    <w:basedOn w:val="TableNormal"/>
    <w:uiPriority w:val="47"/>
    <w:rsid w:val="000632DA"/>
    <w:rPr>
      <w:rFonts w:asciiTheme="minorHAnsi" w:eastAsiaTheme="minorEastAsia" w:hAnsiTheme="minorHAnsi" w:cstheme="minorBidi"/>
      <w:sz w:val="21"/>
      <w:szCs w:val="21"/>
      <w:lang w:val="en-AU"/>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0EDA-24D8-4AAB-B334-1A01B403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14975</Characters>
  <Application>Microsoft Office Word</Application>
  <DocSecurity>0</DocSecurity>
  <Lines>557</Lines>
  <Paragraphs>163</Paragraphs>
  <ScaleCrop>false</ScaleCrop>
  <HeadingPairs>
    <vt:vector size="2" baseType="variant">
      <vt:variant>
        <vt:lpstr>Title</vt:lpstr>
      </vt:variant>
      <vt:variant>
        <vt:i4>1</vt:i4>
      </vt:variant>
    </vt:vector>
  </HeadingPairs>
  <TitlesOfParts>
    <vt:vector size="1" baseType="lpstr">
      <vt:lpstr>Minutes -Public Libraries Consultative Committee December 2015</vt:lpstr>
    </vt:vector>
  </TitlesOfParts>
  <Company>State Library of NSW</Company>
  <LinksUpToDate>false</LinksUpToDate>
  <CharactersWithSpaces>17537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-Public Libraries Consultative Committee December 2015</dc:title>
  <dc:subject>[Enter the subject of the meeting]</dc:subject>
  <dc:creator>State Library NSW</dc:creator>
  <cp:keywords>[SEC=UNCLASSIFIED]</cp:keywords>
  <cp:lastModifiedBy>Kate O'Grady</cp:lastModifiedBy>
  <cp:revision>3</cp:revision>
  <cp:lastPrinted>2016-03-29T00:07:00Z</cp:lastPrinted>
  <dcterms:created xsi:type="dcterms:W3CDTF">2016-05-27T01:39:00Z</dcterms:created>
  <dcterms:modified xsi:type="dcterms:W3CDTF">2016-05-27T01:39:00Z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3980999FD59FC07D58B4ED3A7994B384F1C37049</vt:lpwstr>
  </property>
  <property fmtid="{D5CDD505-2E9C-101B-9397-08002B2CF9AE}" pid="7" name="PM_InsertionValue">
    <vt:lpwstr>UNCLASSIFIED</vt:lpwstr>
  </property>
  <property fmtid="{D5CDD505-2E9C-101B-9397-08002B2CF9AE}" pid="8" name="PM_Hash_Salt">
    <vt:lpwstr>A7F8953C8A8F7915AF90269F71DD28BB</vt:lpwstr>
  </property>
  <property fmtid="{D5CDD505-2E9C-101B-9397-08002B2CF9AE}" pid="9" name="PM_Hash_Version">
    <vt:lpwstr>2014.2</vt:lpwstr>
  </property>
  <property fmtid="{D5CDD505-2E9C-101B-9397-08002B2CF9AE}" pid="10" name="PM_Hash_Salt_Prev">
    <vt:lpwstr>4A44FB350003B7665ED641CDE43D216A</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